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49E1F">
      <w:pPr>
        <w:spacing w:line="360" w:lineRule="auto"/>
        <w:jc w:val="center"/>
        <w:rPr>
          <w:rFonts w:hint="eastAsia" w:ascii="宋体" w:hAnsi="宋体" w:cs="宋体"/>
          <w:sz w:val="44"/>
          <w:szCs w:val="44"/>
          <w:highlight w:val="none"/>
          <w:lang w:eastAsia="zh-CN"/>
        </w:rPr>
      </w:pPr>
    </w:p>
    <w:p w14:paraId="1979F79A">
      <w:pPr>
        <w:spacing w:line="360" w:lineRule="auto"/>
        <w:jc w:val="center"/>
        <w:rPr>
          <w:rFonts w:hint="eastAsia" w:ascii="宋体" w:hAnsi="宋体" w:cs="宋体"/>
          <w:sz w:val="44"/>
          <w:szCs w:val="44"/>
          <w:highlight w:val="none"/>
          <w:lang w:eastAsia="zh-CN"/>
        </w:rPr>
      </w:pPr>
      <w:r>
        <w:rPr>
          <w:rFonts w:hint="eastAsia" w:ascii="宋体" w:hAnsi="宋体" w:cs="宋体"/>
          <w:sz w:val="44"/>
          <w:szCs w:val="44"/>
          <w:highlight w:val="none"/>
          <w:lang w:eastAsia="zh-CN"/>
        </w:rPr>
        <w:t>宜兴市东氿水下森林项目工程全过程工程咨询服务</w:t>
      </w:r>
    </w:p>
    <w:p w14:paraId="7C9C8FAD">
      <w:pPr>
        <w:spacing w:line="360" w:lineRule="auto"/>
        <w:jc w:val="center"/>
        <w:rPr>
          <w:rFonts w:hint="eastAsia" w:ascii="宋体" w:hAnsi="宋体" w:cs="宋体"/>
          <w:sz w:val="44"/>
          <w:szCs w:val="44"/>
          <w:highlight w:val="none"/>
          <w:lang w:eastAsia="zh-CN"/>
        </w:rPr>
      </w:pPr>
    </w:p>
    <w:p w14:paraId="54939F15">
      <w:pPr>
        <w:spacing w:line="360" w:lineRule="auto"/>
        <w:jc w:val="center"/>
        <w:rPr>
          <w:rFonts w:hint="eastAsia" w:ascii="宋体" w:hAnsi="宋体" w:cs="宋体"/>
          <w:sz w:val="44"/>
          <w:szCs w:val="44"/>
          <w:highlight w:val="none"/>
          <w:lang w:eastAsia="zh-CN"/>
        </w:rPr>
      </w:pPr>
    </w:p>
    <w:p w14:paraId="771C85B7">
      <w:pPr>
        <w:pStyle w:val="2"/>
        <w:jc w:val="center"/>
        <w:rPr>
          <w:highlight w:val="none"/>
        </w:rPr>
      </w:pPr>
    </w:p>
    <w:p w14:paraId="1C42B538">
      <w:pPr>
        <w:spacing w:line="360" w:lineRule="auto"/>
        <w:jc w:val="center"/>
        <w:rPr>
          <w:rFonts w:hint="eastAsia" w:ascii="宋体" w:hAnsi="宋体" w:cs="宋体"/>
          <w:sz w:val="72"/>
          <w:szCs w:val="72"/>
          <w:highlight w:val="none"/>
        </w:rPr>
      </w:pPr>
      <w:r>
        <w:rPr>
          <w:rFonts w:hint="eastAsia" w:ascii="宋体" w:hAnsi="宋体" w:cs="宋体"/>
          <w:sz w:val="72"/>
          <w:szCs w:val="72"/>
          <w:highlight w:val="none"/>
        </w:rPr>
        <w:t>招标文件</w:t>
      </w:r>
    </w:p>
    <w:p w14:paraId="462EE302">
      <w:pPr>
        <w:spacing w:line="360" w:lineRule="auto"/>
        <w:jc w:val="center"/>
        <w:rPr>
          <w:rFonts w:hint="eastAsia" w:ascii="宋体" w:hAnsi="宋体" w:cs="宋体"/>
          <w:sz w:val="28"/>
          <w:szCs w:val="28"/>
          <w:highlight w:val="none"/>
        </w:rPr>
      </w:pPr>
    </w:p>
    <w:p w14:paraId="0FC7B060">
      <w:pPr>
        <w:spacing w:line="360" w:lineRule="auto"/>
        <w:jc w:val="center"/>
        <w:rPr>
          <w:rFonts w:hint="eastAsia" w:ascii="宋体" w:hAnsi="宋体" w:eastAsia="宋体" w:cs="宋体"/>
          <w:sz w:val="28"/>
          <w:szCs w:val="28"/>
          <w:highlight w:val="none"/>
          <w:lang w:eastAsia="zh-CN"/>
        </w:rPr>
      </w:pPr>
      <w:r>
        <w:rPr>
          <w:rFonts w:hint="eastAsia" w:ascii="宋体" w:hAnsi="宋体" w:cs="宋体"/>
          <w:sz w:val="28"/>
          <w:szCs w:val="28"/>
          <w:highlight w:val="none"/>
        </w:rPr>
        <w:t>标段编号：</w:t>
      </w:r>
      <w:r>
        <w:rPr>
          <w:rFonts w:hint="eastAsia" w:ascii="宋体" w:hAnsi="宋体" w:cs="宋体"/>
          <w:sz w:val="28"/>
          <w:szCs w:val="28"/>
          <w:highlight w:val="none"/>
          <w:lang w:eastAsia="zh-CN"/>
        </w:rPr>
        <w:t>YXGYJT202501007</w:t>
      </w:r>
    </w:p>
    <w:p w14:paraId="7AC614E2">
      <w:pPr>
        <w:spacing w:line="360" w:lineRule="auto"/>
        <w:jc w:val="left"/>
        <w:rPr>
          <w:rFonts w:hint="eastAsia" w:ascii="宋体" w:hAnsi="宋体" w:cs="宋体"/>
          <w:sz w:val="28"/>
          <w:szCs w:val="28"/>
          <w:highlight w:val="none"/>
        </w:rPr>
      </w:pPr>
    </w:p>
    <w:p w14:paraId="1C1C2348">
      <w:pPr>
        <w:spacing w:line="360" w:lineRule="auto"/>
        <w:jc w:val="left"/>
        <w:rPr>
          <w:rFonts w:hint="eastAsia" w:ascii="宋体" w:hAnsi="宋体" w:cs="宋体"/>
          <w:sz w:val="28"/>
          <w:szCs w:val="28"/>
          <w:highlight w:val="none"/>
        </w:rPr>
      </w:pPr>
    </w:p>
    <w:p w14:paraId="7E823A53">
      <w:pPr>
        <w:spacing w:line="360" w:lineRule="auto"/>
        <w:jc w:val="left"/>
        <w:rPr>
          <w:rFonts w:hint="eastAsia" w:ascii="宋体" w:hAnsi="宋体" w:cs="宋体"/>
          <w:sz w:val="28"/>
          <w:szCs w:val="28"/>
          <w:highlight w:val="none"/>
        </w:rPr>
      </w:pPr>
    </w:p>
    <w:p w14:paraId="650472B1">
      <w:pPr>
        <w:spacing w:line="360" w:lineRule="auto"/>
        <w:jc w:val="left"/>
        <w:rPr>
          <w:rFonts w:hint="eastAsia" w:ascii="宋体" w:hAnsi="宋体" w:cs="宋体"/>
          <w:sz w:val="28"/>
          <w:szCs w:val="28"/>
          <w:highlight w:val="none"/>
        </w:rPr>
      </w:pPr>
    </w:p>
    <w:p w14:paraId="76B0E9E8">
      <w:pPr>
        <w:spacing w:line="360" w:lineRule="auto"/>
        <w:jc w:val="left"/>
        <w:rPr>
          <w:rFonts w:hint="eastAsia" w:ascii="宋体" w:hAnsi="宋体" w:cs="宋体"/>
          <w:sz w:val="28"/>
          <w:szCs w:val="28"/>
          <w:highlight w:val="none"/>
        </w:rPr>
      </w:pPr>
    </w:p>
    <w:p w14:paraId="7C0A61EA">
      <w:pPr>
        <w:spacing w:line="360" w:lineRule="auto"/>
        <w:jc w:val="left"/>
        <w:rPr>
          <w:rFonts w:hint="eastAsia" w:ascii="宋体" w:hAnsi="宋体" w:cs="宋体"/>
          <w:sz w:val="28"/>
          <w:szCs w:val="28"/>
          <w:highlight w:val="none"/>
        </w:rPr>
      </w:pPr>
    </w:p>
    <w:p w14:paraId="355B38EE">
      <w:pPr>
        <w:spacing w:line="360" w:lineRule="auto"/>
        <w:jc w:val="left"/>
        <w:rPr>
          <w:rFonts w:hint="eastAsia" w:ascii="宋体" w:hAnsi="宋体" w:cs="宋体"/>
          <w:sz w:val="28"/>
          <w:szCs w:val="28"/>
          <w:highlight w:val="none"/>
        </w:rPr>
      </w:pPr>
    </w:p>
    <w:p w14:paraId="07A3E419">
      <w:pPr>
        <w:spacing w:line="360" w:lineRule="auto"/>
        <w:jc w:val="left"/>
        <w:rPr>
          <w:rFonts w:hint="eastAsia" w:ascii="宋体" w:hAnsi="宋体" w:cs="宋体"/>
          <w:sz w:val="28"/>
          <w:szCs w:val="28"/>
          <w:highlight w:val="none"/>
        </w:rPr>
      </w:pPr>
    </w:p>
    <w:p w14:paraId="35723A32">
      <w:pPr>
        <w:spacing w:line="360" w:lineRule="auto"/>
        <w:jc w:val="left"/>
        <w:rPr>
          <w:rFonts w:hint="eastAsia" w:ascii="宋体" w:hAnsi="宋体" w:cs="宋体"/>
          <w:sz w:val="28"/>
          <w:szCs w:val="28"/>
          <w:highlight w:val="none"/>
        </w:rPr>
      </w:pPr>
    </w:p>
    <w:p w14:paraId="7A2F62F5">
      <w:pPr>
        <w:spacing w:line="360" w:lineRule="auto"/>
        <w:ind w:firstLine="1377" w:firstLineChars="492"/>
        <w:jc w:val="center"/>
        <w:rPr>
          <w:rFonts w:hint="eastAsia" w:ascii="宋体" w:hAnsi="宋体" w:cs="宋体"/>
          <w:sz w:val="28"/>
          <w:szCs w:val="28"/>
          <w:highlight w:val="none"/>
          <w:u w:val="single"/>
        </w:rPr>
      </w:pPr>
      <w:r>
        <w:rPr>
          <w:rFonts w:hint="eastAsia" w:ascii="宋体" w:hAnsi="宋体" w:cs="宋体"/>
          <w:sz w:val="28"/>
          <w:szCs w:val="28"/>
          <w:highlight w:val="none"/>
        </w:rPr>
        <w:t>招标人（或招标代理机构）（加盖公章）：</w:t>
      </w:r>
    </w:p>
    <w:p w14:paraId="06F44632">
      <w:pPr>
        <w:jc w:val="center"/>
        <w:rPr>
          <w:rFonts w:hint="eastAsia" w:ascii="宋体" w:hAnsi="宋体" w:cs="宋体"/>
          <w:sz w:val="28"/>
          <w:szCs w:val="28"/>
          <w:highlight w:val="none"/>
        </w:rPr>
      </w:pP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highlight w:val="none"/>
        </w:rPr>
        <w:fldChar w:fldCharType="begin"/>
      </w:r>
      <w:r>
        <w:rPr>
          <w:rFonts w:hint="eastAsia" w:ascii="宋体" w:hAnsi="宋体" w:cs="宋体"/>
          <w:highlight w:val="none"/>
        </w:rPr>
        <w:instrText xml:space="preserve"> AUTOTEXT  input313 \* MERGEFORMAT </w:instrText>
      </w:r>
      <w:r>
        <w:rPr>
          <w:rFonts w:hint="eastAsia" w:ascii="宋体" w:hAnsi="宋体" w:cs="宋体"/>
          <w:highlight w:val="none"/>
        </w:rPr>
        <w:fldChar w:fldCharType="separate"/>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8</w:t>
      </w:r>
      <w:r>
        <w:rPr>
          <w:rFonts w:hint="eastAsia" w:ascii="宋体" w:hAnsi="宋体" w:cs="宋体"/>
          <w:sz w:val="28"/>
          <w:szCs w:val="28"/>
          <w:highlight w:val="none"/>
        </w:rPr>
        <w:t>日</w:t>
      </w:r>
      <w:r>
        <w:rPr>
          <w:rFonts w:hint="eastAsia" w:ascii="宋体" w:hAnsi="宋体" w:cs="宋体"/>
          <w:sz w:val="28"/>
          <w:szCs w:val="28"/>
          <w:highlight w:val="none"/>
        </w:rPr>
        <w:fldChar w:fldCharType="end"/>
      </w:r>
    </w:p>
    <w:p w14:paraId="6435A2EF">
      <w:pPr>
        <w:jc w:val="left"/>
        <w:rPr>
          <w:rFonts w:hint="eastAsia" w:ascii="宋体" w:hAnsi="宋体" w:cs="宋体"/>
          <w:highlight w:val="none"/>
        </w:rPr>
      </w:pPr>
    </w:p>
    <w:p w14:paraId="7D6570FF">
      <w:pPr>
        <w:spacing w:after="312" w:afterLines="100" w:line="540" w:lineRule="exact"/>
        <w:jc w:val="left"/>
        <w:rPr>
          <w:rFonts w:hint="eastAsia" w:ascii="宋体" w:hAnsi="宋体" w:cs="宋体"/>
          <w:b/>
          <w:sz w:val="44"/>
          <w:szCs w:val="44"/>
          <w:highlight w:val="none"/>
        </w:rPr>
        <w:sectPr>
          <w:footerReference r:id="rId5" w:type="first"/>
          <w:footerReference r:id="rId3" w:type="default"/>
          <w:footerReference r:id="rId4" w:type="even"/>
          <w:pgSz w:w="11906" w:h="16838"/>
          <w:pgMar w:top="1440" w:right="1797" w:bottom="1440" w:left="1797" w:header="851" w:footer="992" w:gutter="0"/>
          <w:pgNumType w:chapStyle="1"/>
          <w:cols w:space="720" w:num="1"/>
          <w:titlePg/>
          <w:docGrid w:type="linesAndChars" w:linePitch="312" w:charSpace="0"/>
        </w:sectPr>
      </w:pPr>
      <w:bookmarkStart w:id="0" w:name="第一章_资格后审"/>
    </w:p>
    <w:p w14:paraId="5E412BD4">
      <w:pPr>
        <w:spacing w:after="286" w:afterLines="100"/>
        <w:jc w:val="center"/>
        <w:rPr>
          <w:rFonts w:hint="eastAsia" w:ascii="宋体" w:hAnsi="宋体" w:cs="宋体"/>
          <w:b/>
          <w:sz w:val="44"/>
          <w:szCs w:val="44"/>
          <w:highlight w:val="none"/>
        </w:rPr>
      </w:pPr>
      <w:r>
        <w:rPr>
          <w:rFonts w:hint="eastAsia" w:ascii="宋体" w:hAnsi="宋体" w:cs="宋体"/>
          <w:b/>
          <w:sz w:val="44"/>
          <w:szCs w:val="44"/>
          <w:highlight w:val="none"/>
        </w:rPr>
        <w:t>目录</w:t>
      </w:r>
    </w:p>
    <w:p w14:paraId="053B42CE">
      <w:pPr>
        <w:pStyle w:val="23"/>
        <w:tabs>
          <w:tab w:val="right" w:leader="dot" w:pos="9004"/>
        </w:tabs>
        <w:spacing w:line="300" w:lineRule="exact"/>
        <w:jc w:val="left"/>
        <w:rPr>
          <w:rFonts w:hint="eastAsia" w:ascii="宋体" w:hAnsi="宋体" w:cs="宋体"/>
          <w:szCs w:val="22"/>
          <w:highlight w:val="none"/>
        </w:rPr>
      </w:pPr>
      <w:r>
        <w:rPr>
          <w:rFonts w:hint="eastAsia" w:ascii="宋体" w:hAnsi="宋体" w:cs="宋体"/>
          <w:highlight w:val="none"/>
        </w:rPr>
        <w:fldChar w:fldCharType="begin"/>
      </w:r>
      <w:r>
        <w:rPr>
          <w:rFonts w:hint="eastAsia" w:ascii="宋体" w:hAnsi="宋体" w:cs="宋体"/>
          <w:highlight w:val="none"/>
        </w:rPr>
        <w:instrText xml:space="preserve">TOC \o "1-3" \h \u </w:instrText>
      </w:r>
      <w:r>
        <w:rPr>
          <w:rFonts w:hint="eastAsia" w:ascii="宋体" w:hAnsi="宋体" w:cs="宋体"/>
          <w:highlight w:val="none"/>
        </w:rPr>
        <w:fldChar w:fldCharType="separate"/>
      </w:r>
      <w:r>
        <w:rPr>
          <w:highlight w:val="none"/>
        </w:rPr>
        <w:fldChar w:fldCharType="begin"/>
      </w:r>
      <w:r>
        <w:rPr>
          <w:highlight w:val="none"/>
        </w:rPr>
        <w:instrText xml:space="preserve"> HYPERLINK \l "_Toc93403938" </w:instrText>
      </w:r>
      <w:r>
        <w:rPr>
          <w:highlight w:val="none"/>
        </w:rPr>
        <w:fldChar w:fldCharType="separate"/>
      </w:r>
      <w:r>
        <w:rPr>
          <w:rStyle w:val="46"/>
          <w:rFonts w:hint="eastAsia" w:ascii="宋体" w:hAnsi="宋体" w:cs="宋体"/>
          <w:snapToGrid w:val="0"/>
          <w:color w:val="auto"/>
          <w:kern w:val="0"/>
          <w:highlight w:val="none"/>
        </w:rPr>
        <w:t>第一章  招标公告</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_Toc93403938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4D7E83B2">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"_Toc93403939" </w:instrText>
      </w:r>
      <w:r>
        <w:rPr>
          <w:highlight w:val="none"/>
        </w:rPr>
        <w:fldChar w:fldCharType="separate"/>
      </w:r>
      <w:r>
        <w:rPr>
          <w:rStyle w:val="46"/>
          <w:rFonts w:hint="eastAsia" w:ascii="宋体" w:hAnsi="宋体" w:cs="宋体"/>
          <w:color w:val="auto"/>
          <w:highlight w:val="none"/>
        </w:rPr>
        <w:t>1.招标条件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_Toc93403939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098F199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"_Toc93403940" </w:instrText>
      </w:r>
      <w:r>
        <w:rPr>
          <w:highlight w:val="none"/>
        </w:rPr>
        <w:fldChar w:fldCharType="separate"/>
      </w:r>
      <w:r>
        <w:rPr>
          <w:rStyle w:val="46"/>
          <w:rFonts w:hint="eastAsia" w:ascii="宋体" w:hAnsi="宋体" w:cs="宋体"/>
          <w:color w:val="auto"/>
          <w:highlight w:val="none"/>
        </w:rPr>
        <w:t>2.项目概况与招标范围</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_Toc93403940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51D63642">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"_Toc93403941" </w:instrText>
      </w:r>
      <w:r>
        <w:rPr>
          <w:highlight w:val="none"/>
        </w:rPr>
        <w:fldChar w:fldCharType="separate"/>
      </w:r>
      <w:r>
        <w:rPr>
          <w:rStyle w:val="46"/>
          <w:rFonts w:hint="eastAsia" w:ascii="宋体" w:hAnsi="宋体" w:cs="宋体"/>
          <w:color w:val="auto"/>
          <w:highlight w:val="none"/>
        </w:rPr>
        <w:t>3.投标人资格要求</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_Toc93403941 \h </w:instrText>
      </w:r>
      <w:r>
        <w:rPr>
          <w:rFonts w:hint="eastAsia" w:ascii="宋体" w:hAnsi="宋体" w:cs="宋体"/>
          <w:highlight w:val="none"/>
        </w:rPr>
        <w:fldChar w:fldCharType="separate"/>
      </w:r>
      <w:r>
        <w:rPr>
          <w:rFonts w:hint="eastAsia" w:ascii="宋体" w:hAnsi="宋体" w:cs="宋体"/>
          <w:highlight w:val="none"/>
        </w:rPr>
        <w:t>- 3 -</w:t>
      </w:r>
      <w:r>
        <w:rPr>
          <w:rFonts w:hint="eastAsia" w:ascii="宋体" w:hAnsi="宋体" w:cs="宋体"/>
          <w:highlight w:val="none"/>
        </w:rPr>
        <w:fldChar w:fldCharType="end"/>
      </w:r>
      <w:r>
        <w:rPr>
          <w:rFonts w:hint="eastAsia" w:ascii="宋体" w:hAnsi="宋体" w:cs="宋体"/>
          <w:highlight w:val="none"/>
        </w:rPr>
        <w:fldChar w:fldCharType="end"/>
      </w:r>
    </w:p>
    <w:p w14:paraId="21EC71D9">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"_Toc93403942" </w:instrText>
      </w:r>
      <w:r>
        <w:rPr>
          <w:highlight w:val="none"/>
        </w:rPr>
        <w:fldChar w:fldCharType="separate"/>
      </w:r>
      <w:r>
        <w:rPr>
          <w:rStyle w:val="46"/>
          <w:rFonts w:hint="eastAsia" w:ascii="宋体" w:hAnsi="宋体" w:cs="宋体"/>
          <w:color w:val="auto"/>
          <w:highlight w:val="none"/>
        </w:rPr>
        <w:t>4.评标办法</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_Toc93403942 \h </w:instrText>
      </w:r>
      <w:r>
        <w:rPr>
          <w:rFonts w:hint="eastAsia" w:ascii="宋体" w:hAnsi="宋体" w:cs="宋体"/>
          <w:highlight w:val="none"/>
        </w:rPr>
        <w:fldChar w:fldCharType="separate"/>
      </w:r>
      <w:r>
        <w:rPr>
          <w:rFonts w:hint="eastAsia" w:ascii="宋体" w:hAnsi="宋体" w:cs="宋体"/>
          <w:highlight w:val="none"/>
        </w:rPr>
        <w:t>- 5 -</w:t>
      </w:r>
      <w:r>
        <w:rPr>
          <w:rFonts w:hint="eastAsia" w:ascii="宋体" w:hAnsi="宋体" w:cs="宋体"/>
          <w:highlight w:val="none"/>
        </w:rPr>
        <w:fldChar w:fldCharType="end"/>
      </w:r>
      <w:r>
        <w:rPr>
          <w:rFonts w:hint="eastAsia" w:ascii="宋体" w:hAnsi="宋体" w:cs="宋体"/>
          <w:highlight w:val="none"/>
        </w:rPr>
        <w:fldChar w:fldCharType="end"/>
      </w:r>
    </w:p>
    <w:p w14:paraId="06D84C9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"_Toc93403943" </w:instrText>
      </w:r>
      <w:r>
        <w:rPr>
          <w:highlight w:val="none"/>
        </w:rPr>
        <w:fldChar w:fldCharType="separate"/>
      </w:r>
      <w:r>
        <w:rPr>
          <w:rStyle w:val="46"/>
          <w:rFonts w:hint="eastAsia" w:ascii="宋体" w:hAnsi="宋体" w:cs="宋体"/>
          <w:color w:val="auto"/>
          <w:highlight w:val="none"/>
        </w:rPr>
        <w:t>5.招标文件的获取</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_Toc93403943 \h </w:instrText>
      </w:r>
      <w:r>
        <w:rPr>
          <w:rFonts w:hint="eastAsia" w:ascii="宋体" w:hAnsi="宋体" w:cs="宋体"/>
          <w:highlight w:val="none"/>
        </w:rPr>
        <w:fldChar w:fldCharType="separate"/>
      </w:r>
      <w:r>
        <w:rPr>
          <w:rFonts w:hint="eastAsia" w:ascii="宋体" w:hAnsi="宋体" w:cs="宋体"/>
          <w:highlight w:val="none"/>
        </w:rPr>
        <w:t>- 5 -</w:t>
      </w:r>
      <w:r>
        <w:rPr>
          <w:rFonts w:hint="eastAsia" w:ascii="宋体" w:hAnsi="宋体" w:cs="宋体"/>
          <w:highlight w:val="none"/>
        </w:rPr>
        <w:fldChar w:fldCharType="end"/>
      </w:r>
      <w:r>
        <w:rPr>
          <w:rFonts w:hint="eastAsia" w:ascii="宋体" w:hAnsi="宋体" w:cs="宋体"/>
          <w:highlight w:val="none"/>
        </w:rPr>
        <w:fldChar w:fldCharType="end"/>
      </w:r>
    </w:p>
    <w:p w14:paraId="32FE8CD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"_Toc93403944" </w:instrText>
      </w:r>
      <w:r>
        <w:rPr>
          <w:highlight w:val="none"/>
        </w:rPr>
        <w:fldChar w:fldCharType="separate"/>
      </w:r>
      <w:r>
        <w:rPr>
          <w:rStyle w:val="46"/>
          <w:rFonts w:hint="eastAsia" w:ascii="宋体" w:hAnsi="宋体" w:cs="宋体"/>
          <w:color w:val="auto"/>
          <w:highlight w:val="none"/>
        </w:rPr>
        <w:t>6. 投标文件递交</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_Toc93403944 \h </w:instrText>
      </w:r>
      <w:r>
        <w:rPr>
          <w:rFonts w:hint="eastAsia" w:ascii="宋体" w:hAnsi="宋体" w:cs="宋体"/>
          <w:highlight w:val="none"/>
        </w:rPr>
        <w:fldChar w:fldCharType="separate"/>
      </w:r>
      <w:r>
        <w:rPr>
          <w:rFonts w:hint="eastAsia" w:ascii="宋体" w:hAnsi="宋体" w:cs="宋体"/>
          <w:highlight w:val="none"/>
        </w:rPr>
        <w:t>- 6 -</w:t>
      </w:r>
      <w:r>
        <w:rPr>
          <w:rFonts w:hint="eastAsia" w:ascii="宋体" w:hAnsi="宋体" w:cs="宋体"/>
          <w:highlight w:val="none"/>
        </w:rPr>
        <w:fldChar w:fldCharType="end"/>
      </w:r>
      <w:r>
        <w:rPr>
          <w:rFonts w:hint="eastAsia" w:ascii="宋体" w:hAnsi="宋体" w:cs="宋体"/>
          <w:highlight w:val="none"/>
        </w:rPr>
        <w:fldChar w:fldCharType="end"/>
      </w:r>
    </w:p>
    <w:p w14:paraId="6A6D6A4B">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"_Toc93403945" </w:instrText>
      </w:r>
      <w:r>
        <w:rPr>
          <w:highlight w:val="none"/>
        </w:rPr>
        <w:fldChar w:fldCharType="separate"/>
      </w:r>
      <w:r>
        <w:rPr>
          <w:rStyle w:val="46"/>
          <w:rFonts w:hint="eastAsia" w:ascii="宋体" w:hAnsi="宋体" w:cs="宋体"/>
          <w:color w:val="auto"/>
          <w:highlight w:val="none"/>
        </w:rPr>
        <w:t>7.发布公告的媒介</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_Toc93403945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0293B1D1">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"_Toc93403946" </w:instrText>
      </w:r>
      <w:r>
        <w:rPr>
          <w:highlight w:val="none"/>
        </w:rPr>
        <w:fldChar w:fldCharType="separate"/>
      </w:r>
      <w:r>
        <w:rPr>
          <w:rStyle w:val="46"/>
          <w:rFonts w:hint="eastAsia" w:ascii="宋体" w:hAnsi="宋体" w:cs="宋体"/>
          <w:color w:val="auto"/>
          <w:highlight w:val="none"/>
        </w:rPr>
        <w:t>8.其他：</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_Toc93403946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771947F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"_Toc93403947" </w:instrText>
      </w:r>
      <w:r>
        <w:rPr>
          <w:highlight w:val="none"/>
        </w:rPr>
        <w:fldChar w:fldCharType="separate"/>
      </w:r>
      <w:r>
        <w:rPr>
          <w:rStyle w:val="46"/>
          <w:rFonts w:hint="eastAsia" w:ascii="宋体" w:hAnsi="宋体" w:cs="宋体"/>
          <w:color w:val="auto"/>
          <w:highlight w:val="none"/>
        </w:rPr>
        <w:t>9.联系方式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_Toc93403947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1FEB7D12">
      <w:pPr>
        <w:pStyle w:val="28"/>
        <w:tabs>
          <w:tab w:val="right" w:leader="dot" w:pos="9004"/>
        </w:tabs>
        <w:spacing w:line="300" w:lineRule="exact"/>
        <w:ind w:left="0" w:leftChars="0" w:firstLine="0" w:firstLineChars="0"/>
        <w:jc w:val="left"/>
        <w:rPr>
          <w:rFonts w:hint="eastAsia" w:ascii="宋体" w:hAnsi="宋体" w:cs="宋体"/>
          <w:szCs w:val="22"/>
          <w:highlight w:val="none"/>
        </w:rPr>
      </w:pPr>
      <w:r>
        <w:rPr>
          <w:highlight w:val="none"/>
        </w:rPr>
        <w:fldChar w:fldCharType="begin"/>
      </w:r>
      <w:r>
        <w:rPr>
          <w:highlight w:val="none"/>
        </w:rPr>
        <w:instrText xml:space="preserve"> HYPERLINK \l "_Toc93403938" </w:instrText>
      </w:r>
      <w:r>
        <w:rPr>
          <w:highlight w:val="none"/>
        </w:rPr>
        <w:fldChar w:fldCharType="separate"/>
      </w:r>
      <w:r>
        <w:rPr>
          <w:rFonts w:hint="eastAsia"/>
          <w:highlight w:val="none"/>
        </w:rPr>
        <w:t>第</w:t>
      </w:r>
      <w:r>
        <w:rPr>
          <w:rFonts w:hint="eastAsia"/>
          <w:highlight w:val="none"/>
          <w:lang w:val="en-US" w:eastAsia="zh-CN"/>
        </w:rPr>
        <w:t>二</w:t>
      </w:r>
      <w:r>
        <w:rPr>
          <w:rFonts w:hint="eastAsia"/>
          <w:highlight w:val="none"/>
        </w:rPr>
        <w:t xml:space="preserve">章  </w:t>
      </w:r>
      <w:r>
        <w:rPr>
          <w:rFonts w:hint="eastAsia"/>
          <w:highlight w:val="none"/>
        </w:rPr>
        <w:fldChar w:fldCharType="end"/>
      </w:r>
      <w:r>
        <w:rPr>
          <w:highlight w:val="none"/>
        </w:rPr>
        <w:fldChar w:fldCharType="begin"/>
      </w:r>
      <w:r>
        <w:rPr>
          <w:highlight w:val="none"/>
        </w:rPr>
        <w:instrText xml:space="preserve"> HYPERLINK \l "_Toc93403948" </w:instrText>
      </w:r>
      <w:r>
        <w:rPr>
          <w:highlight w:val="none"/>
        </w:rPr>
        <w:fldChar w:fldCharType="separate"/>
      </w:r>
      <w:r>
        <w:rPr>
          <w:rStyle w:val="46"/>
          <w:rFonts w:hint="eastAsia" w:ascii="宋体" w:hAnsi="宋体" w:cs="宋体"/>
          <w:snapToGrid w:val="0"/>
          <w:color w:val="auto"/>
          <w:highlight w:val="none"/>
        </w:rPr>
        <w:t>投标人须知前附表</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_Toc93403948 \h </w:instrText>
      </w:r>
      <w:r>
        <w:rPr>
          <w:rFonts w:hint="eastAsia" w:ascii="宋体" w:hAnsi="宋体" w:cs="宋体"/>
          <w:highlight w:val="none"/>
        </w:rPr>
        <w:fldChar w:fldCharType="separate"/>
      </w:r>
      <w:r>
        <w:rPr>
          <w:rFonts w:hint="eastAsia" w:ascii="宋体" w:hAnsi="宋体" w:cs="宋体"/>
          <w:highlight w:val="none"/>
        </w:rPr>
        <w:t>- 15 -</w:t>
      </w:r>
      <w:r>
        <w:rPr>
          <w:rFonts w:hint="eastAsia" w:ascii="宋体" w:hAnsi="宋体" w:cs="宋体"/>
          <w:highlight w:val="none"/>
        </w:rPr>
        <w:fldChar w:fldCharType="end"/>
      </w:r>
      <w:r>
        <w:rPr>
          <w:rFonts w:hint="eastAsia" w:ascii="宋体" w:hAnsi="宋体" w:cs="宋体"/>
          <w:highlight w:val="none"/>
        </w:rPr>
        <w:fldChar w:fldCharType="end"/>
      </w:r>
    </w:p>
    <w:p w14:paraId="2829E2F3">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"_Toc93403949" </w:instrText>
      </w:r>
      <w:r>
        <w:rPr>
          <w:highlight w:val="none"/>
        </w:rPr>
        <w:fldChar w:fldCharType="separate"/>
      </w:r>
      <w:r>
        <w:rPr>
          <w:rStyle w:val="46"/>
          <w:rFonts w:hint="eastAsia" w:ascii="宋体" w:hAnsi="宋体" w:cs="宋体"/>
          <w:color w:val="auto"/>
          <w:highlight w:val="none"/>
        </w:rPr>
        <w:t>1.总则</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_Toc93403949 \h </w:instrText>
      </w:r>
      <w:r>
        <w:rPr>
          <w:rFonts w:hint="eastAsia" w:ascii="宋体" w:hAnsi="宋体" w:cs="宋体"/>
          <w:highlight w:val="none"/>
        </w:rPr>
        <w:fldChar w:fldCharType="separate"/>
      </w:r>
      <w:r>
        <w:rPr>
          <w:rFonts w:hint="eastAsia" w:ascii="宋体" w:hAnsi="宋体" w:cs="宋体"/>
          <w:highlight w:val="none"/>
        </w:rPr>
        <w:t>- 19 -</w:t>
      </w:r>
      <w:r>
        <w:rPr>
          <w:rFonts w:hint="eastAsia" w:ascii="宋体" w:hAnsi="宋体" w:cs="宋体"/>
          <w:highlight w:val="none"/>
        </w:rPr>
        <w:fldChar w:fldCharType="end"/>
      </w:r>
      <w:r>
        <w:rPr>
          <w:rFonts w:hint="eastAsia" w:ascii="宋体" w:hAnsi="宋体" w:cs="宋体"/>
          <w:highlight w:val="none"/>
        </w:rPr>
        <w:fldChar w:fldCharType="end"/>
      </w:r>
    </w:p>
    <w:p w14:paraId="07047B1D">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"_Toc93403959" </w:instrText>
      </w:r>
      <w:r>
        <w:rPr>
          <w:highlight w:val="none"/>
        </w:rPr>
        <w:fldChar w:fldCharType="separate"/>
      </w:r>
      <w:r>
        <w:rPr>
          <w:rStyle w:val="46"/>
          <w:rFonts w:hint="eastAsia" w:ascii="宋体" w:hAnsi="宋体" w:cs="宋体"/>
          <w:color w:val="auto"/>
          <w:highlight w:val="none"/>
        </w:rPr>
        <w:t>2.招标文件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_Toc93403959 \h </w:instrText>
      </w:r>
      <w:r>
        <w:rPr>
          <w:rFonts w:hint="eastAsia" w:ascii="宋体" w:hAnsi="宋体" w:cs="宋体"/>
          <w:highlight w:val="none"/>
        </w:rPr>
        <w:fldChar w:fldCharType="separate"/>
      </w:r>
      <w:r>
        <w:rPr>
          <w:rFonts w:hint="eastAsia" w:ascii="宋体" w:hAnsi="宋体" w:cs="宋体"/>
          <w:highlight w:val="none"/>
        </w:rPr>
        <w:t>- 20 -</w:t>
      </w:r>
      <w:r>
        <w:rPr>
          <w:rFonts w:hint="eastAsia" w:ascii="宋体" w:hAnsi="宋体" w:cs="宋体"/>
          <w:highlight w:val="none"/>
        </w:rPr>
        <w:fldChar w:fldCharType="end"/>
      </w:r>
      <w:r>
        <w:rPr>
          <w:rFonts w:hint="eastAsia" w:ascii="宋体" w:hAnsi="宋体" w:cs="宋体"/>
          <w:highlight w:val="none"/>
        </w:rPr>
        <w:fldChar w:fldCharType="end"/>
      </w:r>
    </w:p>
    <w:p w14:paraId="6A50043C">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"_Toc93403962" </w:instrText>
      </w:r>
      <w:r>
        <w:rPr>
          <w:highlight w:val="none"/>
        </w:rPr>
        <w:fldChar w:fldCharType="separate"/>
      </w:r>
      <w:r>
        <w:rPr>
          <w:rStyle w:val="46"/>
          <w:rFonts w:hint="eastAsia" w:ascii="宋体" w:hAnsi="宋体" w:cs="宋体"/>
          <w:color w:val="auto"/>
          <w:highlight w:val="none"/>
        </w:rPr>
        <w:t>3.投标文件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_Toc93403962 \h </w:instrText>
      </w:r>
      <w:r>
        <w:rPr>
          <w:rFonts w:hint="eastAsia" w:ascii="宋体" w:hAnsi="宋体" w:cs="宋体"/>
          <w:highlight w:val="none"/>
        </w:rPr>
        <w:fldChar w:fldCharType="separate"/>
      </w:r>
      <w:r>
        <w:rPr>
          <w:rFonts w:hint="eastAsia" w:ascii="宋体" w:hAnsi="宋体" w:cs="宋体"/>
          <w:highlight w:val="none"/>
        </w:rPr>
        <w:t>- 21 -</w:t>
      </w:r>
      <w:r>
        <w:rPr>
          <w:rFonts w:hint="eastAsia" w:ascii="宋体" w:hAnsi="宋体" w:cs="宋体"/>
          <w:highlight w:val="none"/>
        </w:rPr>
        <w:fldChar w:fldCharType="end"/>
      </w:r>
      <w:r>
        <w:rPr>
          <w:rFonts w:hint="eastAsia" w:ascii="宋体" w:hAnsi="宋体" w:cs="宋体"/>
          <w:highlight w:val="none"/>
        </w:rPr>
        <w:fldChar w:fldCharType="end"/>
      </w:r>
    </w:p>
    <w:p w14:paraId="1328E0B4">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"_Toc93403971" </w:instrText>
      </w:r>
      <w:r>
        <w:rPr>
          <w:highlight w:val="none"/>
        </w:rPr>
        <w:fldChar w:fldCharType="separate"/>
      </w:r>
      <w:r>
        <w:rPr>
          <w:rStyle w:val="46"/>
          <w:rFonts w:hint="eastAsia" w:ascii="宋体" w:hAnsi="宋体" w:cs="宋体"/>
          <w:snapToGrid w:val="0"/>
          <w:color w:val="auto"/>
          <w:highlight w:val="none"/>
        </w:rPr>
        <w:t>4.投标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_Toc93403971 \h </w:instrText>
      </w:r>
      <w:r>
        <w:rPr>
          <w:rFonts w:hint="eastAsia" w:ascii="宋体" w:hAnsi="宋体" w:cs="宋体"/>
          <w:highlight w:val="none"/>
        </w:rPr>
        <w:fldChar w:fldCharType="separate"/>
      </w:r>
      <w:r>
        <w:rPr>
          <w:rFonts w:hint="eastAsia" w:ascii="宋体" w:hAnsi="宋体" w:cs="宋体"/>
          <w:highlight w:val="none"/>
        </w:rPr>
        <w:t>- 22 -</w:t>
      </w:r>
      <w:r>
        <w:rPr>
          <w:rFonts w:hint="eastAsia" w:ascii="宋体" w:hAnsi="宋体" w:cs="宋体"/>
          <w:highlight w:val="none"/>
        </w:rPr>
        <w:fldChar w:fldCharType="end"/>
      </w:r>
      <w:r>
        <w:rPr>
          <w:rFonts w:hint="eastAsia" w:ascii="宋体" w:hAnsi="宋体" w:cs="宋体"/>
          <w:highlight w:val="none"/>
        </w:rPr>
        <w:fldChar w:fldCharType="end"/>
      </w:r>
    </w:p>
    <w:p w14:paraId="5121BB5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"_Toc93403975" </w:instrText>
      </w:r>
      <w:r>
        <w:rPr>
          <w:highlight w:val="none"/>
        </w:rPr>
        <w:fldChar w:fldCharType="separate"/>
      </w:r>
      <w:r>
        <w:rPr>
          <w:rStyle w:val="46"/>
          <w:rFonts w:hint="eastAsia" w:ascii="宋体" w:hAnsi="宋体" w:cs="宋体"/>
          <w:snapToGrid w:val="0"/>
          <w:color w:val="auto"/>
          <w:highlight w:val="none"/>
        </w:rPr>
        <w:t>5.开标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_Toc93403975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01E613DA">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"_Toc93403979" </w:instrText>
      </w:r>
      <w:r>
        <w:rPr>
          <w:highlight w:val="none"/>
        </w:rPr>
        <w:fldChar w:fldCharType="separate"/>
      </w:r>
      <w:r>
        <w:rPr>
          <w:rStyle w:val="46"/>
          <w:rFonts w:hint="eastAsia" w:ascii="宋体" w:hAnsi="宋体" w:cs="宋体"/>
          <w:snapToGrid w:val="0"/>
          <w:color w:val="auto"/>
          <w:highlight w:val="none"/>
        </w:rPr>
        <w:t>6.评标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_Toc93403979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3910D221">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"_Toc93403984" </w:instrText>
      </w:r>
      <w:r>
        <w:rPr>
          <w:highlight w:val="none"/>
        </w:rPr>
        <w:fldChar w:fldCharType="separate"/>
      </w:r>
      <w:r>
        <w:rPr>
          <w:rStyle w:val="46"/>
          <w:rFonts w:hint="eastAsia" w:ascii="宋体" w:hAnsi="宋体" w:cs="宋体"/>
          <w:snapToGrid w:val="0"/>
          <w:color w:val="auto"/>
          <w:highlight w:val="none"/>
        </w:rPr>
        <w:t>7.合同授予</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_Toc93403984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6433549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"_Toc93403989" </w:instrText>
      </w:r>
      <w:r>
        <w:rPr>
          <w:highlight w:val="none"/>
        </w:rPr>
        <w:fldChar w:fldCharType="separate"/>
      </w:r>
      <w:r>
        <w:rPr>
          <w:rStyle w:val="46"/>
          <w:rFonts w:hint="eastAsia" w:ascii="宋体" w:hAnsi="宋体" w:cs="宋体"/>
          <w:snapToGrid w:val="0"/>
          <w:color w:val="auto"/>
          <w:highlight w:val="none"/>
        </w:rPr>
        <w:t>8.重新招标和不再招标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_Toc93403989 \h </w:instrText>
      </w:r>
      <w:r>
        <w:rPr>
          <w:rFonts w:hint="eastAsia" w:ascii="宋体" w:hAnsi="宋体" w:cs="宋体"/>
          <w:highlight w:val="none"/>
        </w:rPr>
        <w:fldChar w:fldCharType="separate"/>
      </w:r>
      <w:r>
        <w:rPr>
          <w:rFonts w:hint="eastAsia" w:ascii="宋体" w:hAnsi="宋体" w:cs="宋体"/>
          <w:highlight w:val="none"/>
        </w:rPr>
        <w:t>- 24 -</w:t>
      </w:r>
      <w:r>
        <w:rPr>
          <w:rFonts w:hint="eastAsia" w:ascii="宋体" w:hAnsi="宋体" w:cs="宋体"/>
          <w:highlight w:val="none"/>
        </w:rPr>
        <w:fldChar w:fldCharType="end"/>
      </w:r>
      <w:r>
        <w:rPr>
          <w:rFonts w:hint="eastAsia" w:ascii="宋体" w:hAnsi="宋体" w:cs="宋体"/>
          <w:highlight w:val="none"/>
        </w:rPr>
        <w:fldChar w:fldCharType="end"/>
      </w:r>
    </w:p>
    <w:p w14:paraId="55BCAAA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"_Toc93403992" </w:instrText>
      </w:r>
      <w:r>
        <w:rPr>
          <w:highlight w:val="none"/>
        </w:rPr>
        <w:fldChar w:fldCharType="separate"/>
      </w:r>
      <w:r>
        <w:rPr>
          <w:rStyle w:val="46"/>
          <w:rFonts w:hint="eastAsia" w:ascii="宋体" w:hAnsi="宋体" w:cs="宋体"/>
          <w:snapToGrid w:val="0"/>
          <w:color w:val="auto"/>
          <w:highlight w:val="none"/>
        </w:rPr>
        <w:t>9.纪律和监督</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_Toc93403992 \h </w:instrText>
      </w:r>
      <w:r>
        <w:rPr>
          <w:rFonts w:hint="eastAsia" w:ascii="宋体" w:hAnsi="宋体" w:cs="宋体"/>
          <w:highlight w:val="none"/>
        </w:rPr>
        <w:fldChar w:fldCharType="separate"/>
      </w:r>
      <w:r>
        <w:rPr>
          <w:rFonts w:hint="eastAsia" w:ascii="宋体" w:hAnsi="宋体" w:cs="宋体"/>
          <w:highlight w:val="none"/>
        </w:rPr>
        <w:t>- 24 -</w:t>
      </w:r>
      <w:r>
        <w:rPr>
          <w:rFonts w:hint="eastAsia" w:ascii="宋体" w:hAnsi="宋体" w:cs="宋体"/>
          <w:highlight w:val="none"/>
        </w:rPr>
        <w:fldChar w:fldCharType="end"/>
      </w:r>
      <w:r>
        <w:rPr>
          <w:rFonts w:hint="eastAsia" w:ascii="宋体" w:hAnsi="宋体" w:cs="宋体"/>
          <w:highlight w:val="none"/>
        </w:rPr>
        <w:fldChar w:fldCharType="end"/>
      </w:r>
    </w:p>
    <w:p w14:paraId="5857E3E3">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"_Toc93403998" </w:instrText>
      </w:r>
      <w:r>
        <w:rPr>
          <w:highlight w:val="none"/>
        </w:rPr>
        <w:fldChar w:fldCharType="separate"/>
      </w:r>
      <w:r>
        <w:rPr>
          <w:rStyle w:val="46"/>
          <w:rFonts w:hint="eastAsia" w:ascii="宋体" w:hAnsi="宋体" w:cs="宋体"/>
          <w:snapToGrid w:val="0"/>
          <w:color w:val="auto"/>
          <w:highlight w:val="none"/>
        </w:rPr>
        <w:t>10.需要补充的其他内容</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_Toc93403998 \h </w:instrText>
      </w:r>
      <w:r>
        <w:rPr>
          <w:rFonts w:hint="eastAsia" w:ascii="宋体" w:hAnsi="宋体" w:cs="宋体"/>
          <w:highlight w:val="none"/>
        </w:rPr>
        <w:fldChar w:fldCharType="separate"/>
      </w:r>
      <w:r>
        <w:rPr>
          <w:rFonts w:hint="eastAsia" w:ascii="宋体" w:hAnsi="宋体" w:cs="宋体"/>
          <w:highlight w:val="none"/>
        </w:rPr>
        <w:t>- 25 -</w:t>
      </w:r>
      <w:r>
        <w:rPr>
          <w:rFonts w:hint="eastAsia" w:ascii="宋体" w:hAnsi="宋体" w:cs="宋体"/>
          <w:highlight w:val="none"/>
        </w:rPr>
        <w:fldChar w:fldCharType="end"/>
      </w:r>
      <w:r>
        <w:rPr>
          <w:rFonts w:hint="eastAsia" w:ascii="宋体" w:hAnsi="宋体" w:cs="宋体"/>
          <w:highlight w:val="none"/>
        </w:rPr>
        <w:fldChar w:fldCharType="end"/>
      </w:r>
    </w:p>
    <w:p w14:paraId="3ECE6903">
      <w:pPr>
        <w:pStyle w:val="28"/>
        <w:tabs>
          <w:tab w:val="right" w:leader="dot" w:pos="9004"/>
        </w:tabs>
        <w:spacing w:line="300" w:lineRule="exact"/>
        <w:ind w:left="0" w:leftChars="0" w:firstLine="0" w:firstLineChars="0"/>
        <w:jc w:val="left"/>
        <w:rPr>
          <w:rFonts w:hint="eastAsia" w:ascii="宋体" w:hAnsi="宋体" w:cs="宋体"/>
          <w:szCs w:val="22"/>
          <w:highlight w:val="none"/>
        </w:rPr>
      </w:pPr>
      <w:r>
        <w:rPr>
          <w:rFonts w:hint="eastAsia"/>
          <w:highlight w:val="none"/>
          <w:lang w:val="en-US" w:eastAsia="zh-CN"/>
        </w:rPr>
        <w:t xml:space="preserve">第三章 </w:t>
      </w:r>
      <w:r>
        <w:rPr>
          <w:highlight w:val="none"/>
        </w:rPr>
        <w:fldChar w:fldCharType="begin"/>
      </w:r>
      <w:r>
        <w:rPr>
          <w:highlight w:val="none"/>
        </w:rPr>
        <w:instrText xml:space="preserve"> HYPERLINK \l "_Toc93403999" </w:instrText>
      </w:r>
      <w:r>
        <w:rPr>
          <w:highlight w:val="none"/>
        </w:rPr>
        <w:fldChar w:fldCharType="separate"/>
      </w:r>
      <w:r>
        <w:rPr>
          <w:rStyle w:val="46"/>
          <w:rFonts w:hint="eastAsia" w:ascii="宋体" w:hAnsi="宋体" w:cs="宋体"/>
          <w:snapToGrid w:val="0"/>
          <w:color w:val="auto"/>
          <w:highlight w:val="none"/>
        </w:rPr>
        <w:t>评标办法前附表</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_Toc93403999 \h </w:instrText>
      </w:r>
      <w:r>
        <w:rPr>
          <w:rFonts w:hint="eastAsia" w:ascii="宋体" w:hAnsi="宋体" w:cs="宋体"/>
          <w:highlight w:val="none"/>
        </w:rPr>
        <w:fldChar w:fldCharType="separate"/>
      </w:r>
      <w:r>
        <w:rPr>
          <w:rFonts w:hint="eastAsia" w:ascii="宋体" w:hAnsi="宋体" w:cs="宋体"/>
          <w:highlight w:val="none"/>
        </w:rPr>
        <w:t>- 26 -</w:t>
      </w:r>
      <w:r>
        <w:rPr>
          <w:rFonts w:hint="eastAsia" w:ascii="宋体" w:hAnsi="宋体" w:cs="宋体"/>
          <w:highlight w:val="none"/>
        </w:rPr>
        <w:fldChar w:fldCharType="end"/>
      </w:r>
      <w:r>
        <w:rPr>
          <w:rFonts w:hint="eastAsia" w:ascii="宋体" w:hAnsi="宋体" w:cs="宋体"/>
          <w:highlight w:val="none"/>
        </w:rPr>
        <w:fldChar w:fldCharType="end"/>
      </w:r>
    </w:p>
    <w:p w14:paraId="0F9F6100">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"_Toc93404000" </w:instrText>
      </w:r>
      <w:r>
        <w:rPr>
          <w:highlight w:val="none"/>
        </w:rPr>
        <w:fldChar w:fldCharType="separate"/>
      </w:r>
      <w:r>
        <w:rPr>
          <w:rStyle w:val="46"/>
          <w:rFonts w:hint="eastAsia" w:ascii="宋体" w:hAnsi="宋体" w:cs="宋体"/>
          <w:snapToGrid w:val="0"/>
          <w:color w:val="auto"/>
          <w:highlight w:val="none"/>
        </w:rPr>
        <w:t>1.评标方法</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_Toc93404000 \h </w:instrText>
      </w:r>
      <w:r>
        <w:rPr>
          <w:rFonts w:hint="eastAsia" w:ascii="宋体" w:hAnsi="宋体" w:cs="宋体"/>
          <w:highlight w:val="none"/>
        </w:rPr>
        <w:fldChar w:fldCharType="separate"/>
      </w:r>
      <w:r>
        <w:rPr>
          <w:rFonts w:hint="eastAsia" w:ascii="宋体" w:hAnsi="宋体" w:cs="宋体"/>
          <w:highlight w:val="none"/>
        </w:rPr>
        <w:t>- 27 -</w:t>
      </w:r>
      <w:r>
        <w:rPr>
          <w:rFonts w:hint="eastAsia" w:ascii="宋体" w:hAnsi="宋体" w:cs="宋体"/>
          <w:highlight w:val="none"/>
        </w:rPr>
        <w:fldChar w:fldCharType="end"/>
      </w:r>
      <w:r>
        <w:rPr>
          <w:rFonts w:hint="eastAsia" w:ascii="宋体" w:hAnsi="宋体" w:cs="宋体"/>
          <w:highlight w:val="none"/>
        </w:rPr>
        <w:fldChar w:fldCharType="end"/>
      </w:r>
    </w:p>
    <w:p w14:paraId="7058E65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"_Toc93404001" </w:instrText>
      </w:r>
      <w:r>
        <w:rPr>
          <w:highlight w:val="none"/>
        </w:rPr>
        <w:fldChar w:fldCharType="separate"/>
      </w:r>
      <w:r>
        <w:rPr>
          <w:rStyle w:val="46"/>
          <w:rFonts w:hint="eastAsia" w:ascii="宋体" w:hAnsi="宋体" w:cs="宋体"/>
          <w:snapToGrid w:val="0"/>
          <w:color w:val="auto"/>
          <w:highlight w:val="none"/>
        </w:rPr>
        <w:t>2.评审标准</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_Toc93404001 \h </w:instrText>
      </w:r>
      <w:r>
        <w:rPr>
          <w:rFonts w:hint="eastAsia" w:ascii="宋体" w:hAnsi="宋体" w:cs="宋体"/>
          <w:highlight w:val="none"/>
        </w:rPr>
        <w:fldChar w:fldCharType="separate"/>
      </w:r>
      <w:r>
        <w:rPr>
          <w:rFonts w:hint="eastAsia" w:ascii="宋体" w:hAnsi="宋体" w:cs="宋体"/>
          <w:highlight w:val="none"/>
        </w:rPr>
        <w:t>- 27 -</w:t>
      </w:r>
      <w:r>
        <w:rPr>
          <w:rFonts w:hint="eastAsia" w:ascii="宋体" w:hAnsi="宋体" w:cs="宋体"/>
          <w:highlight w:val="none"/>
        </w:rPr>
        <w:fldChar w:fldCharType="end"/>
      </w:r>
      <w:r>
        <w:rPr>
          <w:rFonts w:hint="eastAsia" w:ascii="宋体" w:hAnsi="宋体" w:cs="宋体"/>
          <w:highlight w:val="none"/>
        </w:rPr>
        <w:fldChar w:fldCharType="end"/>
      </w:r>
    </w:p>
    <w:p w14:paraId="1D8A3B7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"_Toc93404002" </w:instrText>
      </w:r>
      <w:r>
        <w:rPr>
          <w:highlight w:val="none"/>
        </w:rPr>
        <w:fldChar w:fldCharType="separate"/>
      </w:r>
      <w:r>
        <w:rPr>
          <w:rStyle w:val="46"/>
          <w:rFonts w:hint="eastAsia" w:ascii="宋体" w:hAnsi="宋体" w:cs="宋体"/>
          <w:snapToGrid w:val="0"/>
          <w:color w:val="auto"/>
          <w:highlight w:val="none"/>
        </w:rPr>
        <w:t>3.评标程序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_Toc93404002 \h </w:instrText>
      </w:r>
      <w:r>
        <w:rPr>
          <w:rFonts w:hint="eastAsia" w:ascii="宋体" w:hAnsi="宋体" w:cs="宋体"/>
          <w:highlight w:val="none"/>
        </w:rPr>
        <w:fldChar w:fldCharType="separate"/>
      </w:r>
      <w:r>
        <w:rPr>
          <w:rFonts w:hint="eastAsia" w:ascii="宋体" w:hAnsi="宋体" w:cs="宋体"/>
          <w:highlight w:val="none"/>
        </w:rPr>
        <w:t>- 28 -</w:t>
      </w:r>
      <w:r>
        <w:rPr>
          <w:rFonts w:hint="eastAsia" w:ascii="宋体" w:hAnsi="宋体" w:cs="宋体"/>
          <w:highlight w:val="none"/>
        </w:rPr>
        <w:fldChar w:fldCharType="end"/>
      </w:r>
      <w:r>
        <w:rPr>
          <w:rFonts w:hint="eastAsia" w:ascii="宋体" w:hAnsi="宋体" w:cs="宋体"/>
          <w:highlight w:val="none"/>
        </w:rPr>
        <w:fldChar w:fldCharType="end"/>
      </w:r>
    </w:p>
    <w:p w14:paraId="5B17977F">
      <w:pPr>
        <w:pStyle w:val="23"/>
        <w:tabs>
          <w:tab w:val="left" w:pos="1260"/>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"_Toc93404003" </w:instrText>
      </w:r>
      <w:r>
        <w:rPr>
          <w:highlight w:val="none"/>
        </w:rPr>
        <w:fldChar w:fldCharType="separate"/>
      </w:r>
      <w:r>
        <w:rPr>
          <w:rStyle w:val="46"/>
          <w:rFonts w:hint="eastAsia" w:ascii="宋体" w:hAnsi="宋体" w:cs="宋体"/>
          <w:snapToGrid w:val="0"/>
          <w:color w:val="auto"/>
          <w:kern w:val="0"/>
          <w:highlight w:val="none"/>
        </w:rPr>
        <w:t>第四章</w:t>
      </w:r>
      <w:r>
        <w:rPr>
          <w:rStyle w:val="46"/>
          <w:rFonts w:hint="eastAsia" w:ascii="宋体" w:hAnsi="宋体" w:cs="宋体"/>
          <w:snapToGrid w:val="0"/>
          <w:color w:val="auto"/>
          <w:kern w:val="0"/>
          <w:highlight w:val="none"/>
          <w:lang w:val="en-US" w:eastAsia="zh-CN"/>
        </w:rPr>
        <w:t xml:space="preserve"> </w:t>
      </w:r>
      <w:r>
        <w:rPr>
          <w:rStyle w:val="46"/>
          <w:rFonts w:hint="eastAsia" w:ascii="宋体" w:hAnsi="宋体" w:cs="宋体"/>
          <w:snapToGrid w:val="0"/>
          <w:color w:val="auto"/>
          <w:kern w:val="0"/>
          <w:highlight w:val="none"/>
        </w:rPr>
        <w:t>合同条款及格式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_Toc93404003 \h </w:instrText>
      </w:r>
      <w:r>
        <w:rPr>
          <w:rFonts w:hint="eastAsia" w:ascii="宋体" w:hAnsi="宋体" w:cs="宋体"/>
          <w:highlight w:val="none"/>
        </w:rPr>
        <w:fldChar w:fldCharType="separate"/>
      </w:r>
      <w:r>
        <w:rPr>
          <w:rFonts w:hint="eastAsia" w:ascii="宋体" w:hAnsi="宋体" w:cs="宋体"/>
          <w:highlight w:val="none"/>
        </w:rPr>
        <w:t>- 32 -</w:t>
      </w:r>
      <w:r>
        <w:rPr>
          <w:rFonts w:hint="eastAsia" w:ascii="宋体" w:hAnsi="宋体" w:cs="宋体"/>
          <w:highlight w:val="none"/>
        </w:rPr>
        <w:fldChar w:fldCharType="end"/>
      </w:r>
      <w:r>
        <w:rPr>
          <w:rFonts w:hint="eastAsia" w:ascii="宋体" w:hAnsi="宋体" w:cs="宋体"/>
          <w:highlight w:val="none"/>
        </w:rPr>
        <w:fldChar w:fldCharType="end"/>
      </w:r>
    </w:p>
    <w:p w14:paraId="5FEF1ACB">
      <w:pPr>
        <w:pStyle w:val="23"/>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"_Toc93404028" </w:instrText>
      </w:r>
      <w:r>
        <w:rPr>
          <w:highlight w:val="none"/>
        </w:rPr>
        <w:fldChar w:fldCharType="separate"/>
      </w:r>
      <w:r>
        <w:rPr>
          <w:rStyle w:val="46"/>
          <w:rFonts w:hint="eastAsia" w:ascii="宋体" w:hAnsi="宋体" w:cs="宋体"/>
          <w:snapToGrid w:val="0"/>
          <w:color w:val="auto"/>
          <w:kern w:val="0"/>
          <w:highlight w:val="none"/>
        </w:rPr>
        <w:t>第五章  投资人需求</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_Toc93404028 \h </w:instrText>
      </w:r>
      <w:r>
        <w:rPr>
          <w:rFonts w:hint="eastAsia" w:ascii="宋体" w:hAnsi="宋体" w:cs="宋体"/>
          <w:highlight w:val="none"/>
        </w:rPr>
        <w:fldChar w:fldCharType="separate"/>
      </w:r>
      <w:r>
        <w:rPr>
          <w:rFonts w:hint="eastAsia" w:ascii="宋体" w:hAnsi="宋体" w:cs="宋体"/>
          <w:highlight w:val="none"/>
        </w:rPr>
        <w:t>32</w:t>
      </w:r>
      <w:r>
        <w:rPr>
          <w:rFonts w:hint="eastAsia" w:ascii="宋体" w:hAnsi="宋体" w:cs="宋体"/>
          <w:highlight w:val="none"/>
        </w:rPr>
        <w:fldChar w:fldCharType="end"/>
      </w:r>
      <w:r>
        <w:rPr>
          <w:rFonts w:hint="eastAsia" w:ascii="宋体" w:hAnsi="宋体" w:cs="宋体"/>
          <w:highlight w:val="none"/>
        </w:rPr>
        <w:fldChar w:fldCharType="end"/>
      </w:r>
    </w:p>
    <w:p w14:paraId="72E3D10F">
      <w:pPr>
        <w:pStyle w:val="23"/>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"_Toc93404030" </w:instrText>
      </w:r>
      <w:r>
        <w:rPr>
          <w:highlight w:val="none"/>
        </w:rPr>
        <w:fldChar w:fldCharType="separate"/>
      </w:r>
      <w:r>
        <w:rPr>
          <w:rStyle w:val="46"/>
          <w:rFonts w:hint="eastAsia" w:ascii="宋体" w:hAnsi="宋体" w:cs="宋体"/>
          <w:snapToGrid w:val="0"/>
          <w:color w:val="auto"/>
          <w:kern w:val="0"/>
          <w:highlight w:val="none"/>
        </w:rPr>
        <w:t>第六章  投标文件格式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_Toc93404030 \h </w:instrText>
      </w:r>
      <w:r>
        <w:rPr>
          <w:rFonts w:hint="eastAsia" w:ascii="宋体" w:hAnsi="宋体" w:cs="宋体"/>
          <w:highlight w:val="none"/>
        </w:rPr>
        <w:fldChar w:fldCharType="separate"/>
      </w:r>
      <w:r>
        <w:rPr>
          <w:rFonts w:hint="eastAsia" w:ascii="宋体" w:hAnsi="宋体" w:cs="宋体"/>
          <w:highlight w:val="none"/>
        </w:rPr>
        <w:t>69</w:t>
      </w:r>
      <w:r>
        <w:rPr>
          <w:rFonts w:hint="eastAsia" w:ascii="宋体" w:hAnsi="宋体" w:cs="宋体"/>
          <w:highlight w:val="none"/>
        </w:rPr>
        <w:fldChar w:fldCharType="end"/>
      </w:r>
      <w:r>
        <w:rPr>
          <w:rFonts w:hint="eastAsia" w:ascii="宋体" w:hAnsi="宋体" w:cs="宋体"/>
          <w:highlight w:val="none"/>
        </w:rPr>
        <w:fldChar w:fldCharType="end"/>
      </w:r>
    </w:p>
    <w:p w14:paraId="2ED5E728">
      <w:pPr>
        <w:widowControl/>
        <w:spacing w:line="300" w:lineRule="exact"/>
        <w:jc w:val="left"/>
        <w:rPr>
          <w:rFonts w:hint="eastAsia" w:ascii="宋体" w:hAnsi="宋体" w:cs="宋体"/>
          <w:highlight w:val="none"/>
        </w:rPr>
      </w:pPr>
      <w:r>
        <w:rPr>
          <w:rFonts w:hint="eastAsia" w:ascii="宋体" w:hAnsi="宋体" w:cs="宋体"/>
          <w:highlight w:val="none"/>
        </w:rPr>
        <w:fldChar w:fldCharType="end"/>
      </w:r>
    </w:p>
    <w:p w14:paraId="5F11B19C">
      <w:pPr>
        <w:widowControl/>
        <w:jc w:val="left"/>
        <w:rPr>
          <w:rFonts w:hint="eastAsia" w:ascii="宋体" w:hAnsi="宋体" w:cs="宋体"/>
          <w:highlight w:val="none"/>
        </w:rPr>
      </w:pPr>
    </w:p>
    <w:p w14:paraId="44D7A3D5">
      <w:pPr>
        <w:widowControl/>
        <w:jc w:val="left"/>
        <w:rPr>
          <w:rFonts w:hint="eastAsia" w:ascii="宋体" w:hAnsi="宋体" w:cs="宋体"/>
          <w:highlight w:val="none"/>
        </w:rPr>
      </w:pPr>
    </w:p>
    <w:p w14:paraId="1FB50D61">
      <w:pPr>
        <w:widowControl/>
        <w:jc w:val="left"/>
        <w:rPr>
          <w:rFonts w:hint="eastAsia" w:ascii="宋体" w:hAnsi="宋体" w:cs="宋体"/>
          <w:highlight w:val="none"/>
        </w:rPr>
      </w:pPr>
    </w:p>
    <w:p w14:paraId="7FCF0465">
      <w:pPr>
        <w:widowControl/>
        <w:jc w:val="left"/>
        <w:rPr>
          <w:rFonts w:hint="eastAsia" w:ascii="宋体" w:hAnsi="宋体" w:cs="宋体"/>
          <w:highlight w:val="none"/>
        </w:rPr>
      </w:pPr>
    </w:p>
    <w:p w14:paraId="43E8A5CE">
      <w:pPr>
        <w:widowControl/>
        <w:jc w:val="left"/>
        <w:rPr>
          <w:rFonts w:hint="eastAsia" w:ascii="宋体" w:hAnsi="宋体" w:cs="宋体"/>
          <w:highlight w:val="none"/>
        </w:rPr>
      </w:pPr>
    </w:p>
    <w:p w14:paraId="4F2DA747">
      <w:pPr>
        <w:widowControl/>
        <w:jc w:val="left"/>
        <w:rPr>
          <w:rFonts w:hint="eastAsia" w:ascii="宋体" w:hAnsi="宋体" w:cs="宋体"/>
          <w:highlight w:val="none"/>
        </w:rPr>
      </w:pPr>
    </w:p>
    <w:p w14:paraId="257727A9">
      <w:pPr>
        <w:spacing w:line="360" w:lineRule="auto"/>
        <w:jc w:val="center"/>
        <w:outlineLvl w:val="0"/>
        <w:rPr>
          <w:rFonts w:hint="eastAsia" w:ascii="宋体" w:hAnsi="宋体" w:cs="宋体"/>
          <w:snapToGrid w:val="0"/>
          <w:kern w:val="0"/>
          <w:sz w:val="32"/>
          <w:highlight w:val="none"/>
        </w:rPr>
      </w:pPr>
      <w:r>
        <w:rPr>
          <w:rFonts w:hint="eastAsia" w:ascii="宋体" w:hAnsi="宋体" w:cs="宋体"/>
          <w:snapToGrid w:val="0"/>
          <w:kern w:val="0"/>
          <w:sz w:val="32"/>
          <w:highlight w:val="none"/>
        </w:rPr>
        <w:br w:type="page"/>
      </w:r>
      <w:bookmarkStart w:id="1" w:name="_Toc93403938"/>
      <w:bookmarkStart w:id="2" w:name="_Toc25088"/>
      <w:bookmarkStart w:id="3" w:name="_Toc24229"/>
      <w:r>
        <w:rPr>
          <w:rFonts w:hint="eastAsia" w:ascii="宋体" w:hAnsi="宋体" w:cs="宋体"/>
          <w:snapToGrid w:val="0"/>
          <w:kern w:val="0"/>
          <w:sz w:val="32"/>
          <w:highlight w:val="none"/>
        </w:rPr>
        <w:t>第一章  招标公告</w:t>
      </w:r>
      <w:bookmarkEnd w:id="1"/>
      <w:bookmarkEnd w:id="2"/>
      <w:bookmarkEnd w:id="3"/>
    </w:p>
    <w:p w14:paraId="1AADAD7E">
      <w:pPr>
        <w:spacing w:line="580" w:lineRule="exact"/>
        <w:jc w:val="center"/>
        <w:rPr>
          <w:rFonts w:hint="eastAsia" w:ascii="宋体" w:hAnsi="宋体" w:cs="宋体"/>
          <w:sz w:val="28"/>
          <w:szCs w:val="28"/>
          <w:highlight w:val="none"/>
        </w:rPr>
      </w:pPr>
      <w:r>
        <w:rPr>
          <w:rFonts w:hint="eastAsia" w:ascii="宋体" w:hAnsi="宋体" w:cs="宋体"/>
          <w:sz w:val="28"/>
          <w:szCs w:val="28"/>
          <w:highlight w:val="none"/>
          <w:lang w:eastAsia="zh-CN"/>
        </w:rPr>
        <w:t>宜兴市东氿水下森林项目工程全过程工程咨询服务</w:t>
      </w:r>
      <w:r>
        <w:rPr>
          <w:rFonts w:hint="eastAsia" w:ascii="宋体" w:hAnsi="宋体" w:cs="宋体"/>
          <w:sz w:val="28"/>
          <w:szCs w:val="28"/>
          <w:highlight w:val="none"/>
        </w:rPr>
        <w:t>招标公告</w:t>
      </w:r>
    </w:p>
    <w:p w14:paraId="670AB928">
      <w:pPr>
        <w:spacing w:line="580" w:lineRule="exact"/>
        <w:jc w:val="center"/>
        <w:rPr>
          <w:rFonts w:hint="eastAsia" w:ascii="宋体" w:hAnsi="宋体" w:eastAsia="宋体" w:cs="宋体"/>
          <w:sz w:val="28"/>
          <w:szCs w:val="28"/>
          <w:highlight w:val="none"/>
          <w:u w:val="single"/>
          <w:lang w:eastAsia="zh-CN"/>
        </w:rPr>
      </w:pPr>
      <w:r>
        <w:rPr>
          <w:rFonts w:hint="eastAsia" w:ascii="宋体" w:hAnsi="宋体" w:cs="宋体"/>
          <w:sz w:val="28"/>
          <w:szCs w:val="28"/>
          <w:highlight w:val="none"/>
        </w:rPr>
        <w:t>标段编号：</w:t>
      </w:r>
      <w:r>
        <w:rPr>
          <w:rFonts w:hint="eastAsia" w:ascii="宋体" w:hAnsi="宋体" w:cs="宋体"/>
          <w:sz w:val="28"/>
          <w:szCs w:val="28"/>
          <w:highlight w:val="none"/>
          <w:lang w:eastAsia="zh-CN"/>
        </w:rPr>
        <w:t>YXGYJT202501007</w:t>
      </w:r>
    </w:p>
    <w:p w14:paraId="216E2533">
      <w:pPr>
        <w:pStyle w:val="4"/>
        <w:spacing w:before="0" w:after="0" w:line="580" w:lineRule="exact"/>
        <w:jc w:val="left"/>
        <w:rPr>
          <w:rFonts w:hint="eastAsia" w:ascii="宋体" w:hAnsi="宋体" w:cs="宋体"/>
          <w:sz w:val="28"/>
          <w:szCs w:val="28"/>
          <w:highlight w:val="none"/>
        </w:rPr>
      </w:pPr>
      <w:bookmarkStart w:id="4" w:name="_Toc93403939"/>
      <w:bookmarkStart w:id="5" w:name="_Toc20288"/>
      <w:bookmarkStart w:id="6" w:name="_Toc398107827"/>
      <w:bookmarkStart w:id="7" w:name="_Toc12725"/>
      <w:r>
        <w:rPr>
          <w:rFonts w:hint="eastAsia" w:ascii="宋体" w:hAnsi="宋体" w:cs="宋体"/>
          <w:sz w:val="28"/>
          <w:szCs w:val="28"/>
          <w:highlight w:val="none"/>
        </w:rPr>
        <w:t>1.招标条件</w:t>
      </w:r>
      <w:bookmarkEnd w:id="4"/>
      <w:bookmarkEnd w:id="5"/>
      <w:bookmarkEnd w:id="6"/>
      <w:bookmarkEnd w:id="7"/>
    </w:p>
    <w:p w14:paraId="1995DE10">
      <w:pPr>
        <w:spacing w:line="580" w:lineRule="exact"/>
        <w:ind w:firstLine="560" w:firstLineChars="200"/>
        <w:jc w:val="left"/>
        <w:rPr>
          <w:rFonts w:hint="eastAsia" w:ascii="宋体" w:hAnsi="宋体" w:cs="宋体"/>
          <w:sz w:val="28"/>
          <w:szCs w:val="28"/>
          <w:highlight w:val="none"/>
        </w:rPr>
      </w:pPr>
      <w:bookmarkStart w:id="8" w:name="_Toc398107828"/>
      <w:r>
        <w:rPr>
          <w:rFonts w:hint="eastAsia" w:ascii="宋体" w:hAnsi="宋体" w:cs="宋体"/>
          <w:sz w:val="28"/>
          <w:szCs w:val="28"/>
          <w:highlight w:val="none"/>
        </w:rPr>
        <w:t>本招标项目</w:t>
      </w:r>
      <w:r>
        <w:rPr>
          <w:rFonts w:hint="eastAsia" w:ascii="宋体" w:hAnsi="宋体" w:cs="宋体"/>
          <w:sz w:val="28"/>
          <w:szCs w:val="28"/>
          <w:highlight w:val="none"/>
          <w:u w:val="single"/>
          <w:lang w:eastAsia="zh-CN"/>
        </w:rPr>
        <w:t>宜兴市东氿水下森林项目</w:t>
      </w:r>
      <w:r>
        <w:rPr>
          <w:rFonts w:hint="eastAsia" w:ascii="宋体" w:hAnsi="宋体" w:cs="宋体"/>
          <w:sz w:val="28"/>
          <w:szCs w:val="28"/>
          <w:highlight w:val="none"/>
        </w:rPr>
        <w:t>已由</w:t>
      </w:r>
      <w:r>
        <w:rPr>
          <w:rFonts w:hint="eastAsia" w:ascii="宋体" w:hAnsi="宋体" w:cs="宋体"/>
          <w:sz w:val="28"/>
          <w:szCs w:val="28"/>
          <w:highlight w:val="none"/>
          <w:u w:val="single"/>
        </w:rPr>
        <w:t>宜兴市数据局</w:t>
      </w:r>
      <w:r>
        <w:rPr>
          <w:rFonts w:hint="eastAsia" w:ascii="宋体" w:hAnsi="宋体" w:cs="宋体"/>
          <w:sz w:val="28"/>
          <w:szCs w:val="28"/>
          <w:highlight w:val="none"/>
        </w:rPr>
        <w:t>以</w:t>
      </w:r>
      <w:r>
        <w:rPr>
          <w:rFonts w:hint="eastAsia" w:ascii="宋体" w:hAnsi="宋体" w:cs="宋体"/>
          <w:sz w:val="28"/>
          <w:szCs w:val="28"/>
          <w:highlight w:val="none"/>
          <w:u w:val="single"/>
        </w:rPr>
        <w:t>宜数投备[2024]</w:t>
      </w:r>
      <w:r>
        <w:rPr>
          <w:rFonts w:hint="eastAsia" w:ascii="宋体" w:hAnsi="宋体" w:cs="宋体"/>
          <w:sz w:val="28"/>
          <w:szCs w:val="28"/>
          <w:highlight w:val="none"/>
          <w:u w:val="single"/>
          <w:lang w:val="en-US" w:eastAsia="zh-CN"/>
        </w:rPr>
        <w:t>492</w:t>
      </w:r>
      <w:r>
        <w:rPr>
          <w:rFonts w:hint="eastAsia" w:ascii="宋体" w:hAnsi="宋体" w:cs="宋体"/>
          <w:sz w:val="28"/>
          <w:szCs w:val="28"/>
          <w:highlight w:val="none"/>
          <w:u w:val="single"/>
        </w:rPr>
        <w:t>号</w:t>
      </w:r>
      <w:r>
        <w:rPr>
          <w:rFonts w:hint="eastAsia" w:ascii="宋体" w:hAnsi="宋体" w:cs="宋体"/>
          <w:sz w:val="28"/>
          <w:szCs w:val="28"/>
          <w:highlight w:val="none"/>
        </w:rPr>
        <w:t>批准建设，项目业主为</w:t>
      </w:r>
      <w:r>
        <w:rPr>
          <w:rFonts w:hint="eastAsia" w:ascii="宋体" w:hAnsi="宋体" w:cs="宋体"/>
          <w:sz w:val="28"/>
          <w:szCs w:val="28"/>
          <w:highlight w:val="none"/>
          <w:u w:val="single"/>
        </w:rPr>
        <w:t>宜兴市环保集团有限公司</w:t>
      </w:r>
      <w:r>
        <w:rPr>
          <w:rFonts w:hint="eastAsia" w:ascii="宋体" w:hAnsi="宋体" w:cs="宋体"/>
          <w:sz w:val="28"/>
          <w:szCs w:val="28"/>
          <w:highlight w:val="none"/>
        </w:rPr>
        <w:t>，招标代理机构为</w:t>
      </w:r>
      <w:r>
        <w:rPr>
          <w:rFonts w:hint="eastAsia" w:ascii="宋体" w:hAnsi="宋体" w:cs="宋体"/>
          <w:sz w:val="28"/>
          <w:szCs w:val="28"/>
          <w:highlight w:val="none"/>
          <w:u w:val="single"/>
        </w:rPr>
        <w:t>江苏鸿成工程项目管理有限公司</w:t>
      </w:r>
      <w:r>
        <w:rPr>
          <w:rFonts w:hint="eastAsia" w:ascii="宋体" w:hAnsi="宋体" w:cs="宋体"/>
          <w:sz w:val="28"/>
          <w:szCs w:val="28"/>
          <w:highlight w:val="none"/>
        </w:rPr>
        <w:t>，建设资金来自</w:t>
      </w:r>
      <w:r>
        <w:rPr>
          <w:rFonts w:hint="eastAsia" w:ascii="宋体" w:hAnsi="宋体" w:cs="宋体"/>
          <w:sz w:val="28"/>
          <w:szCs w:val="28"/>
          <w:highlight w:val="none"/>
          <w:u w:val="single"/>
        </w:rPr>
        <w:t>自筹</w:t>
      </w:r>
      <w:r>
        <w:rPr>
          <w:rFonts w:hint="eastAsia" w:ascii="宋体" w:hAnsi="宋体" w:cs="宋体"/>
          <w:sz w:val="28"/>
          <w:szCs w:val="28"/>
          <w:highlight w:val="none"/>
        </w:rPr>
        <w:t>。项目已具备招标条件，现对该项目的</w:t>
      </w:r>
      <w:r>
        <w:rPr>
          <w:rFonts w:hint="eastAsia" w:ascii="宋体" w:hAnsi="宋体" w:cs="宋体"/>
          <w:sz w:val="28"/>
          <w:szCs w:val="28"/>
          <w:highlight w:val="none"/>
          <w:u w:val="single"/>
        </w:rPr>
        <w:t>全过程工程咨询服务</w:t>
      </w:r>
      <w:r>
        <w:rPr>
          <w:rFonts w:hint="eastAsia" w:ascii="宋体" w:hAnsi="宋体" w:cs="宋体"/>
          <w:sz w:val="28"/>
          <w:szCs w:val="28"/>
          <w:highlight w:val="none"/>
        </w:rPr>
        <w:t>进行公开招标，采用</w:t>
      </w:r>
      <w:r>
        <w:rPr>
          <w:rFonts w:hint="eastAsia" w:ascii="宋体" w:hAnsi="宋体" w:cs="宋体"/>
          <w:sz w:val="28"/>
          <w:szCs w:val="28"/>
          <w:highlight w:val="none"/>
          <w:u w:val="single"/>
        </w:rPr>
        <w:t>资格后审</w:t>
      </w:r>
      <w:r>
        <w:rPr>
          <w:rFonts w:hint="eastAsia" w:ascii="宋体" w:hAnsi="宋体" w:cs="宋体"/>
          <w:sz w:val="28"/>
          <w:szCs w:val="28"/>
          <w:highlight w:val="none"/>
        </w:rPr>
        <w:t>办法选择合格的投标人参加投标。</w:t>
      </w:r>
    </w:p>
    <w:p w14:paraId="2574B8B2">
      <w:pPr>
        <w:pStyle w:val="4"/>
        <w:spacing w:before="0" w:after="0" w:line="580" w:lineRule="exact"/>
        <w:jc w:val="left"/>
        <w:rPr>
          <w:rFonts w:hint="eastAsia" w:ascii="宋体" w:hAnsi="宋体" w:cs="宋体"/>
          <w:sz w:val="28"/>
          <w:szCs w:val="28"/>
          <w:highlight w:val="none"/>
        </w:rPr>
      </w:pPr>
      <w:bookmarkStart w:id="9" w:name="_Toc10058"/>
      <w:bookmarkStart w:id="10" w:name="_Toc93403940"/>
      <w:bookmarkStart w:id="11" w:name="_Toc29834"/>
      <w:r>
        <w:rPr>
          <w:rFonts w:hint="eastAsia" w:ascii="宋体" w:hAnsi="宋体" w:cs="宋体"/>
          <w:sz w:val="28"/>
          <w:szCs w:val="28"/>
          <w:highlight w:val="none"/>
        </w:rPr>
        <w:t>2.项目概况与招标范围</w:t>
      </w:r>
      <w:bookmarkEnd w:id="8"/>
      <w:bookmarkEnd w:id="9"/>
      <w:bookmarkEnd w:id="10"/>
      <w:bookmarkEnd w:id="11"/>
    </w:p>
    <w:p w14:paraId="09DE56F0">
      <w:pPr>
        <w:adjustRightInd w:val="0"/>
        <w:snapToGrid w:val="0"/>
        <w:spacing w:line="580" w:lineRule="exact"/>
        <w:ind w:firstLine="560" w:firstLineChars="200"/>
        <w:jc w:val="left"/>
        <w:rPr>
          <w:rFonts w:hint="eastAsia" w:ascii="宋体" w:hAnsi="宋体" w:cs="宋体"/>
          <w:sz w:val="28"/>
          <w:szCs w:val="28"/>
          <w:highlight w:val="none"/>
        </w:rPr>
      </w:pPr>
      <w:bookmarkStart w:id="12" w:name="_Toc398107829"/>
      <w:r>
        <w:rPr>
          <w:rFonts w:hint="eastAsia" w:ascii="宋体" w:hAnsi="宋体" w:cs="宋体"/>
          <w:sz w:val="28"/>
          <w:szCs w:val="28"/>
          <w:highlight w:val="none"/>
        </w:rPr>
        <w:t>2.1项目概况</w:t>
      </w:r>
    </w:p>
    <w:p w14:paraId="31B9F999">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rPr>
        <w:t>2.1.1建设地点：</w:t>
      </w:r>
      <w:r>
        <w:rPr>
          <w:rFonts w:hint="eastAsia" w:ascii="宋体" w:hAnsi="宋体" w:cs="宋体"/>
          <w:sz w:val="28"/>
          <w:szCs w:val="28"/>
          <w:highlight w:val="none"/>
          <w:u w:val="single"/>
        </w:rPr>
        <w:t>无锡市-宜兴市-</w:t>
      </w:r>
      <w:r>
        <w:rPr>
          <w:rFonts w:hint="eastAsia" w:ascii="宋体" w:hAnsi="宋体" w:cs="宋体"/>
          <w:sz w:val="28"/>
          <w:szCs w:val="28"/>
          <w:highlight w:val="none"/>
          <w:u w:val="single"/>
          <w:lang w:val="en-US" w:eastAsia="zh-CN"/>
        </w:rPr>
        <w:t>东氿</w:t>
      </w:r>
      <w:r>
        <w:rPr>
          <w:rFonts w:hint="eastAsia" w:ascii="宋体" w:hAnsi="宋体" w:cs="宋体"/>
          <w:sz w:val="28"/>
          <w:szCs w:val="28"/>
          <w:highlight w:val="none"/>
          <w:u w:val="single"/>
        </w:rPr>
        <w:t>。</w:t>
      </w:r>
    </w:p>
    <w:p w14:paraId="46A93634">
      <w:pPr>
        <w:adjustRightInd w:val="0"/>
        <w:snapToGrid w:val="0"/>
        <w:spacing w:line="500" w:lineRule="exact"/>
        <w:ind w:firstLine="560" w:firstLineChars="200"/>
        <w:jc w:val="left"/>
        <w:rPr>
          <w:rFonts w:hint="eastAsia" w:asciiTheme="minorEastAsia" w:hAnsiTheme="minorEastAsia" w:eastAsiaTheme="minorEastAsia" w:cstheme="minorEastAsia"/>
          <w:color w:val="000000" w:themeColor="text1"/>
          <w:sz w:val="28"/>
          <w:szCs w:val="28"/>
          <w:highlight w:val="none"/>
          <w:u w:val="single"/>
          <w14:textFill>
            <w14:solidFill>
              <w14:schemeClr w14:val="tx1"/>
            </w14:solidFill>
          </w14:textFill>
        </w:rPr>
      </w:pPr>
      <w:r>
        <w:rPr>
          <w:rFonts w:hint="eastAsia" w:ascii="宋体" w:hAnsi="宋体" w:cs="宋体"/>
          <w:sz w:val="28"/>
          <w:szCs w:val="28"/>
          <w:highlight w:val="none"/>
        </w:rPr>
        <w:t>2.1.2建设规模：</w:t>
      </w:r>
      <w:r>
        <w:rPr>
          <w:rFonts w:hint="eastAsia" w:ascii="宋体" w:hAnsi="宋体" w:cs="宋体"/>
          <w:sz w:val="28"/>
          <w:szCs w:val="28"/>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649137A3">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rPr>
        <w:t>2.1.3项目投资估算：</w:t>
      </w:r>
      <w:r>
        <w:rPr>
          <w:rFonts w:hint="eastAsia" w:ascii="宋体" w:hAnsi="宋体" w:cs="宋体"/>
          <w:sz w:val="28"/>
          <w:szCs w:val="28"/>
          <w:highlight w:val="none"/>
          <w:u w:val="single"/>
        </w:rPr>
        <w:t>约</w:t>
      </w:r>
      <w:r>
        <w:rPr>
          <w:rFonts w:hint="eastAsia" w:ascii="宋体" w:hAnsi="宋体" w:cs="宋体"/>
          <w:sz w:val="28"/>
          <w:szCs w:val="28"/>
          <w:highlight w:val="none"/>
          <w:u w:val="single"/>
          <w:lang w:val="en-US" w:eastAsia="zh-CN"/>
        </w:rPr>
        <w:t>3481.5</w:t>
      </w:r>
      <w:r>
        <w:rPr>
          <w:rFonts w:hint="eastAsia" w:ascii="宋体" w:hAnsi="宋体" w:cs="宋体"/>
          <w:sz w:val="28"/>
          <w:szCs w:val="28"/>
          <w:highlight w:val="none"/>
          <w:u w:val="single"/>
        </w:rPr>
        <w:t>万元</w:t>
      </w:r>
      <w:r>
        <w:rPr>
          <w:rFonts w:hint="eastAsia" w:ascii="宋体" w:hAnsi="宋体" w:cs="宋体"/>
          <w:sz w:val="28"/>
          <w:szCs w:val="28"/>
          <w:highlight w:val="none"/>
          <w:u w:val="single"/>
          <w:lang w:eastAsia="zh-CN"/>
        </w:rPr>
        <w:t>（</w:t>
      </w:r>
      <w:r>
        <w:rPr>
          <w:rFonts w:hint="eastAsia" w:ascii="宋体" w:hAnsi="宋体" w:cs="宋体"/>
          <w:sz w:val="28"/>
          <w:szCs w:val="28"/>
          <w:highlight w:val="none"/>
          <w:u w:val="single"/>
          <w:lang w:val="en-US" w:eastAsia="zh-CN"/>
        </w:rPr>
        <w:t>其中建安费约为3020.88万元</w:t>
      </w:r>
      <w:r>
        <w:rPr>
          <w:rFonts w:hint="eastAsia" w:ascii="宋体" w:hAnsi="宋体" w:cs="宋体"/>
          <w:sz w:val="28"/>
          <w:szCs w:val="28"/>
          <w:highlight w:val="none"/>
          <w:u w:val="single"/>
          <w:lang w:eastAsia="zh-CN"/>
        </w:rPr>
        <w:t>）</w:t>
      </w:r>
      <w:r>
        <w:rPr>
          <w:rFonts w:hint="eastAsia" w:ascii="宋体" w:hAnsi="宋体" w:cs="宋体"/>
          <w:sz w:val="28"/>
          <w:szCs w:val="28"/>
          <w:highlight w:val="none"/>
          <w:u w:val="single"/>
        </w:rPr>
        <w:t>。</w:t>
      </w:r>
    </w:p>
    <w:p w14:paraId="321064BF">
      <w:pPr>
        <w:adjustRightInd w:val="0"/>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2.1.4咨询合同估算价：</w:t>
      </w:r>
      <w:r>
        <w:rPr>
          <w:rFonts w:hint="eastAsia" w:ascii="宋体" w:hAnsi="宋体" w:cs="宋体"/>
          <w:sz w:val="28"/>
          <w:szCs w:val="28"/>
          <w:highlight w:val="none"/>
          <w:u w:val="single"/>
        </w:rPr>
        <w:t>约</w:t>
      </w:r>
      <w:r>
        <w:rPr>
          <w:rFonts w:hint="eastAsia" w:ascii="宋体" w:hAnsi="宋体" w:cs="宋体"/>
          <w:sz w:val="28"/>
          <w:szCs w:val="28"/>
          <w:highlight w:val="none"/>
          <w:u w:val="single"/>
          <w:lang w:val="en-US" w:eastAsia="zh-CN"/>
        </w:rPr>
        <w:t>49.58</w:t>
      </w:r>
      <w:r>
        <w:rPr>
          <w:rFonts w:hint="eastAsia" w:ascii="宋体" w:hAnsi="宋体" w:cs="宋体"/>
          <w:sz w:val="28"/>
          <w:szCs w:val="28"/>
          <w:highlight w:val="none"/>
          <w:u w:val="single"/>
        </w:rPr>
        <w:t>万元。</w:t>
      </w:r>
    </w:p>
    <w:p w14:paraId="39F5C8E1">
      <w:pPr>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2.1.5全过程工程咨询服务期要求：</w:t>
      </w:r>
      <w:r>
        <w:rPr>
          <w:rFonts w:hint="eastAsia" w:ascii="宋体" w:hAnsi="宋体" w:cs="宋体"/>
          <w:snapToGrid w:val="0"/>
          <w:kern w:val="0"/>
          <w:sz w:val="28"/>
          <w:szCs w:val="28"/>
          <w:highlight w:val="none"/>
          <w:u w:val="single"/>
        </w:rPr>
        <w:t>合同签订之日开始实施，至工程审计报告提交之日终结（最终按本项目实际实施时间为准。）</w:t>
      </w:r>
    </w:p>
    <w:p w14:paraId="2528433F">
      <w:pPr>
        <w:numPr>
          <w:ilvl w:val="0"/>
          <w:numId w:val="2"/>
        </w:num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u w:val="single"/>
        </w:rPr>
        <w:t>工程造价咨询期限：合同签订之日起至工程造价结算审计结束止；</w:t>
      </w:r>
    </w:p>
    <w:p w14:paraId="14A883C2">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u w:val="single"/>
        </w:rPr>
        <w:t>（2）工程监理服务期限：合同签订之日起至项目竣工验收止；</w:t>
      </w:r>
    </w:p>
    <w:p w14:paraId="1FD361FA">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u w:val="single"/>
        </w:rPr>
        <w:t>（3）项目管理服务期限：合同签订之日起至项目竣工验收止。同时必须满足项目实际进展情况以及相关的法律法规规定。</w:t>
      </w:r>
    </w:p>
    <w:p w14:paraId="0B6265A7">
      <w:pPr>
        <w:adjustRightInd w:val="0"/>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2.1.6工作质量目标：</w:t>
      </w:r>
      <w:r>
        <w:rPr>
          <w:rFonts w:hint="eastAsia" w:ascii="宋体" w:hAnsi="宋体" w:cs="宋体"/>
          <w:sz w:val="28"/>
          <w:szCs w:val="28"/>
          <w:highlight w:val="none"/>
          <w:u w:val="single"/>
        </w:rPr>
        <w:t>符合相关规定。</w:t>
      </w:r>
    </w:p>
    <w:p w14:paraId="58E26320">
      <w:pPr>
        <w:adjustRightInd w:val="0"/>
        <w:snapToGrid w:val="0"/>
        <w:spacing w:line="580" w:lineRule="exact"/>
        <w:ind w:firstLine="565" w:firstLineChars="202"/>
        <w:jc w:val="left"/>
        <w:rPr>
          <w:rFonts w:hint="eastAsia" w:ascii="宋体" w:hAnsi="宋体" w:cs="宋体"/>
          <w:sz w:val="28"/>
          <w:szCs w:val="28"/>
          <w:highlight w:val="none"/>
          <w:u w:val="single"/>
        </w:rPr>
      </w:pPr>
      <w:r>
        <w:rPr>
          <w:rFonts w:hint="eastAsia" w:ascii="宋体" w:hAnsi="宋体" w:cs="宋体"/>
          <w:sz w:val="28"/>
          <w:szCs w:val="28"/>
          <w:highlight w:val="none"/>
        </w:rPr>
        <w:t>2.2招标范围：</w:t>
      </w:r>
      <w:r>
        <w:rPr>
          <w:rFonts w:hint="eastAsia" w:ascii="宋体" w:hAnsi="宋体" w:cs="宋体"/>
          <w:sz w:val="28"/>
          <w:szCs w:val="28"/>
          <w:highlight w:val="none"/>
          <w:u w:val="single"/>
        </w:rPr>
        <w:t>全过程工程咨询服务，包括：工程造价咨询（跟踪审计、结算审计）、监理、项目管理。</w:t>
      </w:r>
    </w:p>
    <w:p w14:paraId="0001A9F5">
      <w:pPr>
        <w:pStyle w:val="4"/>
        <w:spacing w:before="0" w:after="0" w:line="580" w:lineRule="exact"/>
        <w:jc w:val="left"/>
        <w:rPr>
          <w:rFonts w:hint="eastAsia" w:ascii="宋体" w:hAnsi="宋体" w:cs="宋体"/>
          <w:sz w:val="28"/>
          <w:szCs w:val="28"/>
          <w:highlight w:val="none"/>
        </w:rPr>
      </w:pPr>
      <w:bookmarkStart w:id="13" w:name="_Toc21481"/>
      <w:bookmarkStart w:id="14" w:name="_Toc93403941"/>
      <w:bookmarkStart w:id="15" w:name="_Toc21244"/>
      <w:r>
        <w:rPr>
          <w:rFonts w:hint="eastAsia" w:ascii="宋体" w:hAnsi="宋体" w:cs="宋体"/>
          <w:sz w:val="28"/>
          <w:szCs w:val="28"/>
          <w:highlight w:val="none"/>
        </w:rPr>
        <w:t>3.投标人资格要求</w:t>
      </w:r>
      <w:bookmarkEnd w:id="12"/>
      <w:bookmarkEnd w:id="13"/>
      <w:bookmarkEnd w:id="14"/>
      <w:bookmarkEnd w:id="15"/>
    </w:p>
    <w:p w14:paraId="5AE1BB9F">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3.1投标人须具备</w:t>
      </w:r>
      <w:r>
        <w:rPr>
          <w:rFonts w:hint="eastAsia" w:ascii="宋体" w:hAnsi="宋体" w:cs="宋体"/>
          <w:sz w:val="28"/>
          <w:szCs w:val="28"/>
          <w:highlight w:val="none"/>
          <w:u w:val="single"/>
          <w:lang w:val="en-US" w:eastAsia="zh-CN"/>
        </w:rPr>
        <w:t>住建部颁发的工程监理水利水电工程专业丙级及以上资质或</w:t>
      </w:r>
      <w:r>
        <w:rPr>
          <w:rFonts w:hint="eastAsia" w:ascii="宋体" w:hAnsi="宋体" w:cs="宋体"/>
          <w:sz w:val="28"/>
          <w:szCs w:val="28"/>
          <w:highlight w:val="none"/>
          <w:u w:val="single"/>
        </w:rPr>
        <w:t>水利部颁发的水利工程施工监理</w:t>
      </w:r>
      <w:r>
        <w:rPr>
          <w:rFonts w:hint="eastAsia" w:ascii="宋体" w:hAnsi="宋体" w:cs="宋体"/>
          <w:sz w:val="28"/>
          <w:szCs w:val="28"/>
          <w:highlight w:val="none"/>
          <w:u w:val="single"/>
          <w:lang w:val="en-US" w:eastAsia="zh-CN"/>
        </w:rPr>
        <w:t>丙</w:t>
      </w:r>
      <w:r>
        <w:rPr>
          <w:rFonts w:hint="eastAsia" w:ascii="宋体" w:hAnsi="宋体" w:cs="宋体"/>
          <w:sz w:val="28"/>
          <w:szCs w:val="28"/>
          <w:highlight w:val="none"/>
          <w:u w:val="single"/>
        </w:rPr>
        <w:t>级及以上资质</w:t>
      </w:r>
      <w:r>
        <w:rPr>
          <w:rFonts w:hint="eastAsia" w:ascii="宋体" w:hAnsi="宋体" w:cs="宋体"/>
          <w:sz w:val="28"/>
          <w:szCs w:val="28"/>
          <w:highlight w:val="none"/>
        </w:rPr>
        <w:t>，并在人员、设备、资金等方面具备相应的工程全过程工程服务咨询能力：</w:t>
      </w:r>
    </w:p>
    <w:p w14:paraId="20E7B5A1">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3.1.1投标人还应满足下列条件：</w:t>
      </w:r>
    </w:p>
    <w:p w14:paraId="742FB448">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（1）投标人是依法注册登记的法人或者其他组织，并具有独立订立合同的能力；</w:t>
      </w:r>
    </w:p>
    <w:p w14:paraId="65242358">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（2）投标人未处于被责令停业、投标资格被取消或者财产被接管、冻结和破产状态；</w:t>
      </w:r>
    </w:p>
    <w:p w14:paraId="366CC41B">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（3）投标人没有因骗取中标等违法违规问题，被有关部门暂停投标资格并在暂停期内的。</w:t>
      </w:r>
    </w:p>
    <w:p w14:paraId="05AC112F">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3.2投标人拟派项目总负责人须具备：</w:t>
      </w:r>
      <w:r>
        <w:rPr>
          <w:rFonts w:hint="eastAsia" w:ascii="宋体" w:hAnsi="宋体" w:cs="宋体"/>
          <w:sz w:val="28"/>
          <w:szCs w:val="28"/>
          <w:highlight w:val="none"/>
          <w:u w:val="single"/>
        </w:rPr>
        <w:t>有效期内《全国水利工程建设监理工程师资格证书》(水利工程专业)或</w:t>
      </w:r>
      <w:r>
        <w:rPr>
          <w:rFonts w:hint="eastAsia" w:cs="宋体"/>
          <w:sz w:val="28"/>
          <w:szCs w:val="28"/>
          <w:highlight w:val="none"/>
          <w:u w:val="single"/>
        </w:rPr>
        <w:t>国家注册监理工程师(水利工程)</w:t>
      </w:r>
      <w:r>
        <w:rPr>
          <w:rFonts w:hint="eastAsia" w:ascii="宋体" w:hAnsi="宋体" w:cs="宋体"/>
          <w:sz w:val="28"/>
          <w:szCs w:val="28"/>
          <w:highlight w:val="none"/>
        </w:rPr>
        <w:t>，同时具有</w:t>
      </w:r>
      <w:r>
        <w:rPr>
          <w:rFonts w:hint="eastAsia" w:ascii="宋体" w:hAnsi="宋体" w:cs="宋体"/>
          <w:sz w:val="28"/>
          <w:szCs w:val="28"/>
          <w:highlight w:val="none"/>
          <w:u w:val="single"/>
        </w:rPr>
        <w:t>水利工程类或工程经济类高级及以上职称</w:t>
      </w:r>
      <w:r>
        <w:rPr>
          <w:rFonts w:hint="eastAsia" w:ascii="宋体" w:hAnsi="宋体" w:cs="宋体"/>
          <w:sz w:val="28"/>
          <w:szCs w:val="28"/>
          <w:highlight w:val="none"/>
        </w:rPr>
        <w:t>，且必须满足下列条件：</w:t>
      </w:r>
    </w:p>
    <w:p w14:paraId="351BF597">
      <w:pPr>
        <w:pStyle w:val="53"/>
        <w:ind w:firstLine="532" w:firstLineChars="200"/>
        <w:rPr>
          <w:rFonts w:hint="eastAsia"/>
          <w:highlight w:val="none"/>
          <w:u w:val="single"/>
        </w:rPr>
      </w:pPr>
      <w:r>
        <w:rPr>
          <w:rFonts w:hint="eastAsia"/>
          <w:highlight w:val="none"/>
          <w:u w:val="single"/>
        </w:rPr>
        <w:t>（1）投标项目总负责人以总监身份已承担的监理工程不得超过2个，且在宜兴市外不得有在监项目。（需提供承诺书，格式详见招标文件），否则将取消其中标资格，并没收其投标保证金；</w:t>
      </w:r>
    </w:p>
    <w:p w14:paraId="0CA98091">
      <w:pPr>
        <w:pStyle w:val="53"/>
        <w:ind w:firstLine="532" w:firstLineChars="200"/>
        <w:rPr>
          <w:rFonts w:hint="eastAsia"/>
          <w:highlight w:val="none"/>
          <w:u w:val="single"/>
        </w:rPr>
      </w:pPr>
      <w:r>
        <w:rPr>
          <w:rFonts w:hint="eastAsia"/>
          <w:highlight w:val="none"/>
          <w:u w:val="single"/>
        </w:rPr>
        <w:t>（2）拟派项目总负责人不得同时在两个或者两个以上单位受聘或者执业。</w:t>
      </w:r>
    </w:p>
    <w:p w14:paraId="5DB604EE">
      <w:pPr>
        <w:pStyle w:val="53"/>
        <w:ind w:firstLine="532" w:firstLineChars="200"/>
        <w:rPr>
          <w:rFonts w:hint="eastAsia"/>
          <w:highlight w:val="none"/>
          <w:u w:val="single"/>
        </w:rPr>
      </w:pPr>
      <w:r>
        <w:rPr>
          <w:rFonts w:hint="eastAsia"/>
          <w:highlight w:val="none"/>
          <w:u w:val="single"/>
        </w:rPr>
        <w:t>（3）项目总负责人无行贿犯罪行为记录；或有行贿犯罪行为记录，但自记录之日起已超过 5 年的。</w:t>
      </w:r>
    </w:p>
    <w:p w14:paraId="2AE7F887">
      <w:pPr>
        <w:pStyle w:val="53"/>
        <w:ind w:firstLine="532" w:firstLineChars="200"/>
        <w:rPr>
          <w:rFonts w:hint="eastAsia"/>
          <w:highlight w:val="none"/>
          <w:u w:val="none"/>
        </w:rPr>
      </w:pPr>
      <w:r>
        <w:rPr>
          <w:rFonts w:hint="eastAsia"/>
          <w:highlight w:val="none"/>
          <w:u w:val="single"/>
        </w:rPr>
        <w:t>（4）拟派项目总负责人须为投标人在职人员,提供投标截止日期前6个月内本单位为其办理的任意一个月社保缴费证明。</w:t>
      </w:r>
    </w:p>
    <w:p w14:paraId="20361342">
      <w:pPr>
        <w:pStyle w:val="53"/>
        <w:ind w:firstLine="532" w:firstLineChars="200"/>
        <w:rPr>
          <w:rFonts w:hint="eastAsia"/>
          <w:highlight w:val="none"/>
          <w:u w:val="none"/>
        </w:rPr>
      </w:pPr>
      <w:r>
        <w:rPr>
          <w:rFonts w:hint="eastAsia"/>
          <w:highlight w:val="none"/>
          <w:u w:val="none"/>
        </w:rPr>
        <w:t>3.3项目咨询机构各专业负责人要求（总监理工程师可以由项目总负责人兼任）：</w:t>
      </w:r>
    </w:p>
    <w:p w14:paraId="558D9800">
      <w:pPr>
        <w:pStyle w:val="53"/>
        <w:ind w:firstLine="532" w:firstLineChars="200"/>
        <w:rPr>
          <w:rFonts w:hint="eastAsia"/>
          <w:highlight w:val="none"/>
          <w:u w:val="none"/>
        </w:rPr>
      </w:pPr>
      <w:r>
        <w:rPr>
          <w:rFonts w:hint="eastAsia"/>
          <w:highlight w:val="none"/>
          <w:u w:val="none"/>
        </w:rPr>
        <w:t>3.3.1造价咨询负责人：</w:t>
      </w:r>
      <w:r>
        <w:rPr>
          <w:rFonts w:hint="eastAsia"/>
          <w:highlight w:val="none"/>
          <w:u w:val="single"/>
          <w:lang w:val="en-US" w:eastAsia="zh-CN"/>
        </w:rPr>
        <w:t>一级</w:t>
      </w:r>
      <w:r>
        <w:rPr>
          <w:rFonts w:hint="eastAsia"/>
          <w:highlight w:val="none"/>
          <w:u w:val="single"/>
        </w:rPr>
        <w:t>注册造价工程师；</w:t>
      </w:r>
    </w:p>
    <w:p w14:paraId="340D2DB7">
      <w:pPr>
        <w:pStyle w:val="53"/>
        <w:ind w:firstLine="532" w:firstLineChars="200"/>
        <w:rPr>
          <w:rFonts w:hint="eastAsia"/>
          <w:highlight w:val="none"/>
          <w:u w:val="none"/>
        </w:rPr>
      </w:pPr>
      <w:r>
        <w:rPr>
          <w:rFonts w:hint="eastAsia"/>
          <w:highlight w:val="none"/>
          <w:u w:val="none"/>
        </w:rPr>
        <w:t>3.3.2总监理工程师：</w:t>
      </w:r>
      <w:r>
        <w:rPr>
          <w:rFonts w:hint="eastAsia"/>
          <w:highlight w:val="none"/>
          <w:u w:val="single"/>
        </w:rPr>
        <w:t>《全国水利工程建设监理工程师资格证书》(水利工程专业)或国家注册监理工程师（水利工程类）</w:t>
      </w:r>
    </w:p>
    <w:p w14:paraId="789F86AA">
      <w:pPr>
        <w:pStyle w:val="53"/>
        <w:ind w:firstLine="532" w:firstLineChars="200"/>
        <w:rPr>
          <w:rFonts w:hint="eastAsia"/>
          <w:highlight w:val="none"/>
          <w:u w:val="none"/>
        </w:rPr>
      </w:pPr>
      <w:r>
        <w:rPr>
          <w:rFonts w:hint="eastAsia"/>
          <w:highlight w:val="none"/>
          <w:u w:val="none"/>
        </w:rPr>
        <w:t>3.3.3项目管理负责人：</w:t>
      </w:r>
      <w:r>
        <w:rPr>
          <w:rFonts w:hint="eastAsia"/>
          <w:highlight w:val="none"/>
          <w:u w:val="single"/>
        </w:rPr>
        <w:t>工程建设或咨询类执业资格。</w:t>
      </w:r>
    </w:p>
    <w:p w14:paraId="1AFE2903">
      <w:pPr>
        <w:pStyle w:val="53"/>
        <w:ind w:firstLine="532" w:firstLineChars="200"/>
        <w:rPr>
          <w:rFonts w:hint="eastAsia"/>
          <w:highlight w:val="none"/>
          <w:u w:val="none"/>
        </w:rPr>
      </w:pPr>
      <w:r>
        <w:rPr>
          <w:rFonts w:hint="eastAsia"/>
          <w:highlight w:val="none"/>
          <w:u w:val="none"/>
        </w:rPr>
        <w:t>3.4投标人及其拟派项目总负责人的业绩要求：</w:t>
      </w:r>
      <w:r>
        <w:rPr>
          <w:rFonts w:hint="eastAsia"/>
          <w:highlight w:val="none"/>
          <w:u w:val="single"/>
        </w:rPr>
        <w:t>拟派项目总负责人承担过类似工程项目全过程工程咨询服务或类似单项工程咨询服务（满足下列条件之一）</w:t>
      </w:r>
      <w:r>
        <w:rPr>
          <w:rFonts w:hint="eastAsia"/>
          <w:highlight w:val="none"/>
          <w:u w:val="none"/>
        </w:rPr>
        <w:t>：</w:t>
      </w:r>
    </w:p>
    <w:p w14:paraId="2378184E">
      <w:pPr>
        <w:pStyle w:val="53"/>
        <w:ind w:firstLine="532" w:firstLineChars="200"/>
        <w:rPr>
          <w:rFonts w:hint="eastAsia"/>
          <w:highlight w:val="none"/>
          <w:u w:val="none"/>
          <w:shd w:val="clear" w:color="auto" w:fill="FFFFFF"/>
        </w:rPr>
      </w:pPr>
      <w:bookmarkStart w:id="16" w:name="_Toc382549577"/>
      <w:bookmarkStart w:id="17" w:name="_Toc382549717"/>
      <w:r>
        <w:rPr>
          <w:rFonts w:hint="eastAsia"/>
          <w:highlight w:val="none"/>
          <w:u w:val="none"/>
          <w:shd w:val="clear" w:color="auto" w:fill="FFFFFF"/>
        </w:rPr>
        <w:t>3.4.1自2021年1月以来，项目总负责人承担过水利工程全过程工程咨询业绩（同时提供中标通知书或成交通知书和全过程工程咨询服务合同，时间以合同签订时间为准）；</w:t>
      </w:r>
    </w:p>
    <w:p w14:paraId="5149355D">
      <w:pPr>
        <w:pStyle w:val="53"/>
        <w:ind w:firstLine="532" w:firstLineChars="200"/>
        <w:rPr>
          <w:rFonts w:hint="eastAsia"/>
          <w:highlight w:val="none"/>
          <w:u w:val="none"/>
          <w:shd w:val="clear" w:color="auto" w:fill="FFFFFF"/>
        </w:rPr>
      </w:pPr>
      <w:r>
        <w:rPr>
          <w:rFonts w:hint="eastAsia"/>
          <w:highlight w:val="none"/>
          <w:u w:val="none"/>
          <w:shd w:val="clear" w:color="auto" w:fill="FFFFFF"/>
        </w:rPr>
        <w:t>3.4.2 自2021年1月以来，项目总负责人承担过水利工程造价咨询业绩（同时提供中标通知书或成交通知书和造价咨询合同，时间以合同签订时间为准）</w:t>
      </w:r>
    </w:p>
    <w:p w14:paraId="00910023">
      <w:pPr>
        <w:pStyle w:val="53"/>
        <w:ind w:firstLine="532" w:firstLineChars="200"/>
        <w:rPr>
          <w:rFonts w:hint="eastAsia"/>
          <w:highlight w:val="none"/>
          <w:u w:val="none"/>
          <w:shd w:val="clear" w:color="auto" w:fill="FFFFFF"/>
        </w:rPr>
      </w:pPr>
      <w:r>
        <w:rPr>
          <w:rFonts w:hint="eastAsia"/>
          <w:highlight w:val="none"/>
          <w:u w:val="none"/>
          <w:shd w:val="clear" w:color="auto" w:fill="FFFFFF"/>
        </w:rPr>
        <w:t>3.4.3 自2021年1月以来，项目总负责人承担过水利工程监理业绩（需同时提供中标通知书(或者发包人出具的加盖发包人单位公章的直接发包证明)、合同协议书、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55BEFFE7">
      <w:pPr>
        <w:pStyle w:val="53"/>
        <w:ind w:firstLine="532" w:firstLineChars="200"/>
        <w:rPr>
          <w:rFonts w:hint="eastAsia"/>
          <w:highlight w:val="none"/>
          <w:u w:val="none"/>
          <w:shd w:val="clear" w:color="auto" w:fill="FFFFFF"/>
        </w:rPr>
      </w:pPr>
      <w:r>
        <w:rPr>
          <w:rFonts w:hint="eastAsia"/>
          <w:highlight w:val="none"/>
          <w:u w:val="none"/>
          <w:shd w:val="clear" w:color="auto" w:fill="FFFFFF"/>
        </w:rPr>
        <w:t>注：类似工程项目是指单项工程项目总投资概算</w:t>
      </w:r>
      <w:r>
        <w:rPr>
          <w:rFonts w:hint="eastAsia"/>
          <w:highlight w:val="none"/>
          <w:u w:val="none"/>
          <w:shd w:val="clear" w:color="auto" w:fill="FFFFFF"/>
          <w:lang w:val="en-US" w:eastAsia="zh-CN"/>
        </w:rPr>
        <w:t>2500</w:t>
      </w:r>
      <w:r>
        <w:rPr>
          <w:rFonts w:hint="eastAsia"/>
          <w:highlight w:val="none"/>
          <w:u w:val="none"/>
          <w:shd w:val="clear" w:color="auto" w:fill="FFFFFF"/>
        </w:rPr>
        <w:t>万元及以上的水利工程项目，总投资概算以合同上载明的金额为准。</w:t>
      </w:r>
    </w:p>
    <w:p w14:paraId="1B6C1BCF">
      <w:pPr>
        <w:pStyle w:val="53"/>
        <w:ind w:firstLine="532" w:firstLineChars="200"/>
        <w:rPr>
          <w:rFonts w:hint="eastAsia"/>
          <w:highlight w:val="none"/>
          <w:u w:val="none"/>
        </w:rPr>
      </w:pPr>
      <w:r>
        <w:rPr>
          <w:rFonts w:hint="eastAsia"/>
          <w:highlight w:val="none"/>
          <w:u w:val="none"/>
        </w:rPr>
        <w:t>3.5投标人不得有以下情形：</w:t>
      </w:r>
    </w:p>
    <w:p w14:paraId="1D739FCE">
      <w:pPr>
        <w:pStyle w:val="53"/>
        <w:ind w:firstLine="532" w:firstLineChars="200"/>
        <w:rPr>
          <w:rFonts w:hint="eastAsia"/>
          <w:highlight w:val="none"/>
          <w:u w:val="none"/>
        </w:rPr>
      </w:pPr>
      <w:r>
        <w:rPr>
          <w:rFonts w:hint="eastAsia"/>
          <w:highlight w:val="none"/>
          <w:u w:val="none"/>
        </w:rPr>
        <w:t>（1）为招标人不具有独立法人资格的附属机构（单位）；</w:t>
      </w:r>
    </w:p>
    <w:p w14:paraId="77C65FE0">
      <w:pPr>
        <w:adjustRightInd w:val="0"/>
        <w:snapToGrid w:val="0"/>
        <w:spacing w:line="580" w:lineRule="exact"/>
        <w:ind w:firstLine="420" w:firstLineChars="150"/>
        <w:jc w:val="left"/>
        <w:rPr>
          <w:rFonts w:hint="eastAsia" w:ascii="宋体" w:hAnsi="宋体" w:cs="宋体"/>
          <w:sz w:val="28"/>
          <w:szCs w:val="28"/>
          <w:highlight w:val="none"/>
          <w:u w:val="none"/>
        </w:rPr>
      </w:pPr>
      <w:r>
        <w:rPr>
          <w:rFonts w:hint="eastAsia" w:ascii="宋体" w:hAnsi="宋体" w:cs="宋体"/>
          <w:sz w:val="28"/>
          <w:szCs w:val="28"/>
          <w:highlight w:val="none"/>
          <w:u w:val="none"/>
        </w:rPr>
        <w:t>（2）为本标段提供招标代理服务的；</w:t>
      </w:r>
    </w:p>
    <w:p w14:paraId="1058FD81">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（3）与本标段的招标代理机构存在单位负责人为同一人的；</w:t>
      </w:r>
    </w:p>
    <w:p w14:paraId="4101EB58">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（4）与本标段的招标代理机构存在相互控股或参股的；</w:t>
      </w:r>
    </w:p>
    <w:p w14:paraId="01AE72A1">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（5）与本标段其他投标人存在单位负责人为同一人或者存在控股、管理关系的；</w:t>
      </w:r>
    </w:p>
    <w:p w14:paraId="1C702DEF">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（6）全过程工程咨询服务投标人及其分包单位不得与本项目的工程总承包单位、施工单位存在利害关系；</w:t>
      </w:r>
    </w:p>
    <w:p w14:paraId="169EDA15">
      <w:pPr>
        <w:adjustRightInd w:val="0"/>
        <w:snapToGrid w:val="0"/>
        <w:spacing w:line="580" w:lineRule="exact"/>
        <w:ind w:firstLine="420" w:firstLineChars="150"/>
        <w:jc w:val="left"/>
        <w:rPr>
          <w:rFonts w:hint="eastAsia" w:ascii="宋体" w:hAnsi="宋体" w:cs="宋体"/>
          <w:highlight w:val="none"/>
        </w:rPr>
      </w:pPr>
      <w:r>
        <w:rPr>
          <w:rFonts w:hint="eastAsia" w:ascii="宋体" w:hAnsi="宋体" w:cs="宋体"/>
          <w:sz w:val="28"/>
          <w:szCs w:val="28"/>
          <w:highlight w:val="none"/>
        </w:rPr>
        <w:t>（7）法律法规规定的其它情形；</w:t>
      </w:r>
    </w:p>
    <w:p w14:paraId="67212135">
      <w:pPr>
        <w:adjustRightInd w:val="0"/>
        <w:snapToGrid w:val="0"/>
        <w:spacing w:line="580" w:lineRule="exact"/>
        <w:ind w:firstLine="562" w:firstLineChars="201"/>
        <w:jc w:val="left"/>
        <w:rPr>
          <w:rFonts w:hint="eastAsia" w:ascii="宋体" w:hAnsi="宋体" w:cs="宋体"/>
          <w:sz w:val="28"/>
          <w:szCs w:val="28"/>
          <w:highlight w:val="none"/>
        </w:rPr>
      </w:pPr>
      <w:r>
        <w:rPr>
          <w:rFonts w:hint="eastAsia" w:ascii="宋体" w:hAnsi="宋体" w:cs="宋体"/>
          <w:sz w:val="28"/>
          <w:szCs w:val="28"/>
          <w:highlight w:val="none"/>
        </w:rPr>
        <w:t>3.6符合法律法规规定的其它要求。</w:t>
      </w:r>
      <w:bookmarkEnd w:id="16"/>
      <w:bookmarkEnd w:id="17"/>
      <w:bookmarkStart w:id="18" w:name="_Toc398107830"/>
      <w:bookmarkStart w:id="19" w:name="_Toc15081"/>
      <w:bookmarkStart w:id="20" w:name="_Toc27237"/>
      <w:bookmarkStart w:id="21" w:name="_Toc93403942"/>
    </w:p>
    <w:p w14:paraId="7D03D653">
      <w:pPr>
        <w:spacing w:line="56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3.7本次招标</w:t>
      </w:r>
      <w:r>
        <w:rPr>
          <w:rFonts w:hint="eastAsia" w:ascii="宋体" w:hAnsi="宋体" w:cs="宋体"/>
          <w:sz w:val="28"/>
          <w:szCs w:val="28"/>
          <w:highlight w:val="none"/>
          <w:u w:val="single"/>
        </w:rPr>
        <w:t>不接受</w:t>
      </w:r>
      <w:r>
        <w:rPr>
          <w:rFonts w:hint="eastAsia" w:ascii="宋体" w:hAnsi="宋体" w:cs="宋体"/>
          <w:sz w:val="28"/>
          <w:szCs w:val="28"/>
          <w:highlight w:val="none"/>
        </w:rPr>
        <w:t>联合体投标。</w:t>
      </w:r>
    </w:p>
    <w:p w14:paraId="174239D2">
      <w:pPr>
        <w:pStyle w:val="4"/>
        <w:spacing w:before="0" w:after="0" w:line="580" w:lineRule="exact"/>
        <w:jc w:val="left"/>
        <w:rPr>
          <w:rFonts w:hint="eastAsia" w:ascii="宋体" w:hAnsi="宋体" w:cs="宋体"/>
          <w:sz w:val="28"/>
          <w:szCs w:val="28"/>
          <w:highlight w:val="none"/>
        </w:rPr>
      </w:pPr>
      <w:r>
        <w:rPr>
          <w:rFonts w:hint="eastAsia" w:ascii="宋体" w:hAnsi="宋体" w:cs="宋体"/>
          <w:sz w:val="28"/>
          <w:szCs w:val="28"/>
          <w:highlight w:val="none"/>
        </w:rPr>
        <w:t>4.评标办法</w:t>
      </w:r>
      <w:bookmarkEnd w:id="18"/>
      <w:bookmarkEnd w:id="19"/>
      <w:bookmarkEnd w:id="20"/>
      <w:bookmarkEnd w:id="21"/>
    </w:p>
    <w:p w14:paraId="62B0F6F1">
      <w:pPr>
        <w:spacing w:line="580" w:lineRule="exact"/>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本次招标采用综合评估法，评标细则详见本公告附件。</w:t>
      </w:r>
    </w:p>
    <w:p w14:paraId="39FE6A98">
      <w:pPr>
        <w:pStyle w:val="4"/>
        <w:spacing w:before="0" w:after="0" w:line="580" w:lineRule="exact"/>
        <w:jc w:val="left"/>
        <w:rPr>
          <w:rFonts w:hint="eastAsia" w:ascii="宋体" w:hAnsi="宋体" w:cs="宋体"/>
          <w:sz w:val="28"/>
          <w:szCs w:val="28"/>
          <w:highlight w:val="none"/>
        </w:rPr>
      </w:pPr>
      <w:bookmarkStart w:id="22" w:name="_Toc398107831"/>
      <w:bookmarkStart w:id="23" w:name="_Toc17561"/>
      <w:bookmarkStart w:id="24" w:name="_Toc93403943"/>
      <w:bookmarkStart w:id="25" w:name="_Toc28360"/>
      <w:r>
        <w:rPr>
          <w:rFonts w:hint="eastAsia" w:ascii="宋体" w:hAnsi="宋体" w:cs="宋体"/>
          <w:sz w:val="28"/>
          <w:szCs w:val="28"/>
          <w:highlight w:val="none"/>
        </w:rPr>
        <w:t>5.招标文件的获取</w:t>
      </w:r>
      <w:bookmarkEnd w:id="22"/>
      <w:bookmarkEnd w:id="23"/>
      <w:bookmarkEnd w:id="24"/>
      <w:bookmarkEnd w:id="25"/>
    </w:p>
    <w:p w14:paraId="3EE75A7F">
      <w:pPr>
        <w:adjustRightInd w:val="0"/>
        <w:snapToGrid w:val="0"/>
        <w:spacing w:line="580" w:lineRule="exact"/>
        <w:ind w:firstLine="420" w:firstLineChars="150"/>
        <w:jc w:val="left"/>
        <w:rPr>
          <w:rFonts w:hint="eastAsia" w:ascii="宋体" w:hAnsi="宋体" w:cs="宋体"/>
          <w:kern w:val="0"/>
          <w:sz w:val="28"/>
          <w:szCs w:val="28"/>
          <w:highlight w:val="none"/>
        </w:rPr>
      </w:pPr>
      <w:bookmarkStart w:id="26" w:name="_Toc398107832"/>
      <w:r>
        <w:rPr>
          <w:rFonts w:hint="eastAsia" w:ascii="宋体" w:hAnsi="宋体" w:cs="宋体"/>
          <w:kern w:val="0"/>
          <w:sz w:val="28"/>
          <w:szCs w:val="28"/>
          <w:highlight w:val="none"/>
        </w:rPr>
        <w:t>5.1获取招标文件的时间：</w:t>
      </w:r>
      <w:r>
        <w:rPr>
          <w:rFonts w:hint="eastAsia" w:ascii="宋体" w:hAnsi="宋体" w:cs="宋体"/>
          <w:kern w:val="0"/>
          <w:sz w:val="28"/>
          <w:szCs w:val="28"/>
          <w:highlight w:val="none"/>
          <w:lang w:val="en-US" w:eastAsia="zh-CN"/>
        </w:rPr>
        <w:t>2025</w:t>
      </w:r>
      <w:r>
        <w:rPr>
          <w:rFonts w:hint="eastAsia" w:ascii="宋体" w:hAnsi="宋体" w:cs="宋体"/>
          <w:kern w:val="0"/>
          <w:sz w:val="28"/>
          <w:szCs w:val="28"/>
          <w:highlight w:val="none"/>
        </w:rPr>
        <w:t>年</w:t>
      </w:r>
      <w:r>
        <w:rPr>
          <w:rFonts w:hint="eastAsia" w:ascii="宋体" w:hAnsi="宋体" w:cs="宋体"/>
          <w:kern w:val="0"/>
          <w:sz w:val="28"/>
          <w:szCs w:val="28"/>
          <w:highlight w:val="none"/>
          <w:lang w:val="en-US" w:eastAsia="zh-CN"/>
        </w:rPr>
        <w:t>2</w:t>
      </w:r>
      <w:r>
        <w:rPr>
          <w:rFonts w:hint="eastAsia" w:ascii="宋体" w:hAnsi="宋体" w:cs="宋体"/>
          <w:kern w:val="0"/>
          <w:sz w:val="28"/>
          <w:szCs w:val="28"/>
          <w:highlight w:val="none"/>
        </w:rPr>
        <w:t>月</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日至</w:t>
      </w:r>
      <w:r>
        <w:rPr>
          <w:rFonts w:hint="eastAsia" w:ascii="宋体" w:hAnsi="宋体" w:cs="宋体"/>
          <w:kern w:val="0"/>
          <w:sz w:val="28"/>
          <w:szCs w:val="28"/>
          <w:highlight w:val="none"/>
          <w:lang w:val="en-US" w:eastAsia="zh-CN"/>
        </w:rPr>
        <w:t xml:space="preserve"> 2025</w:t>
      </w:r>
      <w:r>
        <w:rPr>
          <w:rFonts w:hint="eastAsia" w:ascii="宋体" w:hAnsi="宋体" w:cs="宋体"/>
          <w:kern w:val="0"/>
          <w:sz w:val="28"/>
          <w:szCs w:val="28"/>
          <w:highlight w:val="none"/>
        </w:rPr>
        <w:t>年</w:t>
      </w:r>
      <w:r>
        <w:rPr>
          <w:rFonts w:hint="eastAsia" w:ascii="宋体" w:hAnsi="宋体" w:cs="宋体"/>
          <w:kern w:val="0"/>
          <w:sz w:val="28"/>
          <w:szCs w:val="28"/>
          <w:highlight w:val="none"/>
          <w:lang w:val="en-US" w:eastAsia="zh-CN"/>
        </w:rPr>
        <w:t>2</w:t>
      </w:r>
      <w:r>
        <w:rPr>
          <w:rFonts w:hint="eastAsia" w:ascii="宋体" w:hAnsi="宋体" w:cs="宋体"/>
          <w:kern w:val="0"/>
          <w:sz w:val="28"/>
          <w:szCs w:val="28"/>
          <w:highlight w:val="none"/>
        </w:rPr>
        <w:t>月</w:t>
      </w:r>
      <w:r>
        <w:rPr>
          <w:rFonts w:hint="eastAsia" w:ascii="宋体" w:hAnsi="宋体" w:cs="宋体"/>
          <w:kern w:val="0"/>
          <w:sz w:val="28"/>
          <w:szCs w:val="28"/>
          <w:highlight w:val="none"/>
          <w:lang w:val="en-US" w:eastAsia="zh-CN"/>
        </w:rPr>
        <w:t>16</w:t>
      </w:r>
      <w:r>
        <w:rPr>
          <w:rFonts w:hint="eastAsia" w:ascii="宋体" w:hAnsi="宋体" w:cs="宋体"/>
          <w:kern w:val="0"/>
          <w:sz w:val="28"/>
          <w:szCs w:val="28"/>
          <w:highlight w:val="none"/>
        </w:rPr>
        <w:t>日</w:t>
      </w:r>
      <w:r>
        <w:rPr>
          <w:rFonts w:hint="eastAsia" w:ascii="宋体" w:hAnsi="宋体" w:cs="宋体"/>
          <w:kern w:val="0"/>
          <w:sz w:val="28"/>
          <w:szCs w:val="28"/>
          <w:highlight w:val="none"/>
          <w:lang w:eastAsia="zh-CN"/>
        </w:rPr>
        <w:t>。</w:t>
      </w:r>
      <w:r>
        <w:rPr>
          <w:rFonts w:hint="eastAsia" w:ascii="宋体" w:hAnsi="宋体" w:cs="宋体"/>
          <w:kern w:val="0"/>
          <w:sz w:val="28"/>
          <w:szCs w:val="28"/>
          <w:highlight w:val="none"/>
        </w:rPr>
        <w:t>凡有意参加</w:t>
      </w:r>
      <w:r>
        <w:rPr>
          <w:rFonts w:hint="eastAsia" w:ascii="宋体" w:hAnsi="宋体" w:cs="宋体"/>
          <w:kern w:val="0"/>
          <w:sz w:val="28"/>
          <w:szCs w:val="28"/>
          <w:highlight w:val="none"/>
          <w:lang w:eastAsia="zh-CN"/>
        </w:rPr>
        <w:t>的</w:t>
      </w:r>
      <w:r>
        <w:rPr>
          <w:rFonts w:hint="eastAsia" w:ascii="宋体" w:hAnsi="宋体" w:cs="宋体"/>
          <w:kern w:val="0"/>
          <w:sz w:val="28"/>
          <w:szCs w:val="28"/>
          <w:highlight w:val="none"/>
        </w:rPr>
        <w:t>投标</w:t>
      </w:r>
      <w:r>
        <w:rPr>
          <w:rFonts w:hint="eastAsia" w:ascii="宋体" w:hAnsi="宋体" w:cs="宋体"/>
          <w:kern w:val="0"/>
          <w:sz w:val="28"/>
          <w:szCs w:val="28"/>
          <w:highlight w:val="none"/>
          <w:lang w:eastAsia="zh-CN"/>
        </w:rPr>
        <w:t>人按要求</w:t>
      </w:r>
      <w:r>
        <w:rPr>
          <w:rFonts w:hint="eastAsia" w:ascii="宋体" w:hAnsi="宋体" w:cs="宋体"/>
          <w:kern w:val="0"/>
          <w:sz w:val="28"/>
          <w:szCs w:val="28"/>
          <w:highlight w:val="none"/>
          <w:lang w:val="en-US" w:eastAsia="zh-CN"/>
        </w:rPr>
        <w:t>在投标文件递交时间截止前</w:t>
      </w:r>
      <w:r>
        <w:rPr>
          <w:rFonts w:hint="eastAsia" w:ascii="宋体" w:hAnsi="宋体" w:cs="宋体"/>
          <w:kern w:val="0"/>
          <w:sz w:val="28"/>
          <w:szCs w:val="28"/>
          <w:highlight w:val="none"/>
          <w:lang w:eastAsia="zh-CN"/>
        </w:rPr>
        <w:t>缴纳投标保证金及标前资格预审通过后即报名成功。</w:t>
      </w:r>
      <w:r>
        <w:rPr>
          <w:rFonts w:hint="eastAsia" w:ascii="宋体" w:hAnsi="宋体" w:cs="宋体"/>
          <w:kern w:val="0"/>
          <w:sz w:val="28"/>
          <w:szCs w:val="28"/>
          <w:highlight w:val="none"/>
          <w:lang w:val="en-US" w:eastAsia="zh-CN"/>
        </w:rPr>
        <w:t>招标文件每份300元，在递交投标文件时收取（售后不退，招标活动终止的情况除外）。</w:t>
      </w:r>
    </w:p>
    <w:p w14:paraId="408F4D7F">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5.2招标人根据项目的实际情况，要求投标人交纳投标保证金</w:t>
      </w:r>
      <w:r>
        <w:rPr>
          <w:rFonts w:hint="eastAsia" w:ascii="宋体" w:hAnsi="宋体" w:cs="宋体"/>
          <w:b/>
          <w:bCs/>
          <w:kern w:val="0"/>
          <w:sz w:val="28"/>
          <w:szCs w:val="28"/>
          <w:highlight w:val="none"/>
          <w:lang w:val="en-US" w:eastAsia="zh-CN"/>
        </w:rPr>
        <w:t>伍仟元</w:t>
      </w:r>
      <w:r>
        <w:rPr>
          <w:rFonts w:hint="eastAsia" w:ascii="宋体" w:hAnsi="宋体" w:cs="宋体"/>
          <w:kern w:val="0"/>
          <w:sz w:val="28"/>
          <w:szCs w:val="28"/>
          <w:highlight w:val="none"/>
          <w:lang w:val="en-US" w:eastAsia="zh-CN"/>
        </w:rPr>
        <w:t>人民币。交纳投标保证金的单位名称必须与参加投标的投标人名称一致：</w:t>
      </w:r>
    </w:p>
    <w:tbl>
      <w:tblPr>
        <w:tblStyle w:val="34"/>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4197"/>
        <w:gridCol w:w="917"/>
        <w:gridCol w:w="2488"/>
      </w:tblGrid>
      <w:tr w14:paraId="4879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76" w:type="dxa"/>
            <w:noWrap w:val="0"/>
            <w:vAlign w:val="center"/>
          </w:tcPr>
          <w:p w14:paraId="3220B27E">
            <w:pPr>
              <w:adjustRightInd w:val="0"/>
              <w:snapToGrid w:val="0"/>
              <w:spacing w:line="240" w:lineRule="auto"/>
              <w:jc w:val="center"/>
              <w:rPr>
                <w:rFonts w:hint="eastAsia" w:ascii="宋体" w:hAnsi="宋体" w:cs="宋体"/>
                <w:kern w:val="0"/>
                <w:sz w:val="28"/>
                <w:szCs w:val="28"/>
                <w:highlight w:val="none"/>
                <w:lang w:val="zh-CN"/>
              </w:rPr>
            </w:pPr>
            <w:r>
              <w:rPr>
                <w:rFonts w:hint="eastAsia" w:ascii="宋体" w:hAnsi="宋体" w:cs="宋体"/>
                <w:kern w:val="0"/>
                <w:sz w:val="28"/>
                <w:szCs w:val="28"/>
                <w:highlight w:val="none"/>
              </w:rPr>
              <w:t>交纳投标保证金账户名称</w:t>
            </w:r>
          </w:p>
        </w:tc>
        <w:tc>
          <w:tcPr>
            <w:tcW w:w="4197" w:type="dxa"/>
            <w:noWrap w:val="0"/>
            <w:vAlign w:val="center"/>
          </w:tcPr>
          <w:p w14:paraId="06B473BF">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宜兴市公用环保集团有限公司</w:t>
            </w:r>
          </w:p>
        </w:tc>
        <w:tc>
          <w:tcPr>
            <w:tcW w:w="917" w:type="dxa"/>
            <w:vMerge w:val="restart"/>
            <w:noWrap w:val="0"/>
            <w:vAlign w:val="center"/>
          </w:tcPr>
          <w:p w14:paraId="43584B5D">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交纳</w:t>
            </w:r>
          </w:p>
          <w:p w14:paraId="4D0917BB">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形式</w:t>
            </w:r>
          </w:p>
        </w:tc>
        <w:tc>
          <w:tcPr>
            <w:tcW w:w="2488" w:type="dxa"/>
            <w:vMerge w:val="restart"/>
            <w:noWrap w:val="0"/>
            <w:vAlign w:val="center"/>
          </w:tcPr>
          <w:p w14:paraId="66705F48">
            <w:pPr>
              <w:adjustRightInd w:val="0"/>
              <w:snapToGrid w:val="0"/>
              <w:spacing w:line="240" w:lineRule="auto"/>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rPr>
              <w:t>投标保证金的交纳形式限于转账（不接受其他形式的投标保证金）</w:t>
            </w:r>
          </w:p>
        </w:tc>
      </w:tr>
      <w:tr w14:paraId="5A15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76" w:type="dxa"/>
            <w:noWrap w:val="0"/>
            <w:vAlign w:val="center"/>
          </w:tcPr>
          <w:p w14:paraId="62C50075">
            <w:pPr>
              <w:adjustRightInd w:val="0"/>
              <w:snapToGrid w:val="0"/>
              <w:spacing w:line="240" w:lineRule="auto"/>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开户银行</w:t>
            </w:r>
          </w:p>
        </w:tc>
        <w:tc>
          <w:tcPr>
            <w:tcW w:w="4197" w:type="dxa"/>
            <w:noWrap w:val="0"/>
            <w:vAlign w:val="center"/>
          </w:tcPr>
          <w:p w14:paraId="16F679EC">
            <w:pPr>
              <w:adjustRightInd w:val="0"/>
              <w:snapToGrid w:val="0"/>
              <w:spacing w:line="240" w:lineRule="auto"/>
              <w:ind w:firstLine="420" w:firstLineChars="150"/>
              <w:jc w:val="left"/>
              <w:rPr>
                <w:rFonts w:hint="eastAsia" w:ascii="宋体" w:hAnsi="宋体" w:cs="宋体"/>
                <w:kern w:val="0"/>
                <w:sz w:val="28"/>
                <w:szCs w:val="28"/>
                <w:highlight w:val="none"/>
                <w:lang w:val="zh-CN" w:eastAsia="zh-CN"/>
              </w:rPr>
            </w:pPr>
            <w:r>
              <w:rPr>
                <w:rFonts w:hint="eastAsia" w:ascii="宋体" w:hAnsi="宋体" w:cs="宋体"/>
                <w:kern w:val="0"/>
                <w:sz w:val="28"/>
                <w:szCs w:val="28"/>
                <w:highlight w:val="none"/>
                <w:lang w:val="zh-CN" w:eastAsia="zh-CN"/>
              </w:rPr>
              <w:t>光大银行宜兴支行</w:t>
            </w:r>
          </w:p>
        </w:tc>
        <w:tc>
          <w:tcPr>
            <w:tcW w:w="917" w:type="dxa"/>
            <w:vMerge w:val="continue"/>
            <w:noWrap w:val="0"/>
            <w:vAlign w:val="center"/>
          </w:tcPr>
          <w:p w14:paraId="2A80103D">
            <w:pPr>
              <w:adjustRightInd w:val="0"/>
              <w:snapToGrid w:val="0"/>
              <w:spacing w:line="240" w:lineRule="auto"/>
              <w:ind w:firstLine="420" w:firstLineChars="150"/>
              <w:jc w:val="left"/>
              <w:rPr>
                <w:rFonts w:hint="eastAsia" w:ascii="宋体" w:hAnsi="宋体" w:cs="宋体"/>
                <w:kern w:val="0"/>
                <w:sz w:val="28"/>
                <w:szCs w:val="28"/>
                <w:highlight w:val="none"/>
                <w:lang w:val="zh-CN"/>
              </w:rPr>
            </w:pPr>
          </w:p>
        </w:tc>
        <w:tc>
          <w:tcPr>
            <w:tcW w:w="2488" w:type="dxa"/>
            <w:vMerge w:val="continue"/>
            <w:noWrap w:val="0"/>
            <w:vAlign w:val="center"/>
          </w:tcPr>
          <w:p w14:paraId="1CBB0B8C">
            <w:pPr>
              <w:adjustRightInd w:val="0"/>
              <w:snapToGrid w:val="0"/>
              <w:spacing w:line="240" w:lineRule="auto"/>
              <w:ind w:firstLine="420" w:firstLineChars="150"/>
              <w:jc w:val="left"/>
              <w:rPr>
                <w:rFonts w:hint="eastAsia" w:ascii="宋体" w:hAnsi="宋体" w:cs="宋体"/>
                <w:kern w:val="0"/>
                <w:sz w:val="28"/>
                <w:szCs w:val="28"/>
                <w:highlight w:val="none"/>
                <w:lang w:val="zh-CN"/>
              </w:rPr>
            </w:pPr>
          </w:p>
        </w:tc>
      </w:tr>
      <w:tr w14:paraId="7789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76" w:type="dxa"/>
            <w:noWrap w:val="0"/>
            <w:vAlign w:val="center"/>
          </w:tcPr>
          <w:p w14:paraId="209EEB51">
            <w:pPr>
              <w:adjustRightInd w:val="0"/>
              <w:snapToGrid w:val="0"/>
              <w:spacing w:line="580" w:lineRule="exact"/>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账</w:t>
            </w: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号</w:t>
            </w:r>
          </w:p>
        </w:tc>
        <w:tc>
          <w:tcPr>
            <w:tcW w:w="4197" w:type="dxa"/>
            <w:noWrap w:val="0"/>
            <w:vAlign w:val="center"/>
          </w:tcPr>
          <w:p w14:paraId="26C95292">
            <w:pPr>
              <w:adjustRightInd w:val="0"/>
              <w:snapToGrid w:val="0"/>
              <w:spacing w:line="580" w:lineRule="exact"/>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51610188000272156</w:t>
            </w:r>
          </w:p>
        </w:tc>
        <w:tc>
          <w:tcPr>
            <w:tcW w:w="917" w:type="dxa"/>
            <w:vMerge w:val="continue"/>
            <w:noWrap w:val="0"/>
            <w:vAlign w:val="center"/>
          </w:tcPr>
          <w:p w14:paraId="77C35776">
            <w:pPr>
              <w:adjustRightInd w:val="0"/>
              <w:snapToGrid w:val="0"/>
              <w:spacing w:line="580" w:lineRule="exact"/>
              <w:ind w:firstLine="420" w:firstLineChars="150"/>
              <w:jc w:val="left"/>
              <w:rPr>
                <w:rFonts w:hint="eastAsia" w:ascii="宋体" w:hAnsi="宋体" w:cs="宋体"/>
                <w:kern w:val="0"/>
                <w:sz w:val="28"/>
                <w:szCs w:val="28"/>
                <w:highlight w:val="none"/>
                <w:lang w:val="zh-CN"/>
              </w:rPr>
            </w:pPr>
          </w:p>
        </w:tc>
        <w:tc>
          <w:tcPr>
            <w:tcW w:w="2488" w:type="dxa"/>
            <w:vMerge w:val="continue"/>
            <w:noWrap w:val="0"/>
            <w:vAlign w:val="center"/>
          </w:tcPr>
          <w:p w14:paraId="64EB7244">
            <w:pPr>
              <w:adjustRightInd w:val="0"/>
              <w:snapToGrid w:val="0"/>
              <w:spacing w:line="580" w:lineRule="exact"/>
              <w:ind w:firstLine="420" w:firstLineChars="150"/>
              <w:jc w:val="left"/>
              <w:rPr>
                <w:rFonts w:hint="eastAsia" w:ascii="宋体" w:hAnsi="宋体" w:cs="宋体"/>
                <w:kern w:val="0"/>
                <w:sz w:val="28"/>
                <w:szCs w:val="28"/>
                <w:highlight w:val="none"/>
                <w:lang w:val="zh-CN"/>
              </w:rPr>
            </w:pPr>
          </w:p>
        </w:tc>
      </w:tr>
    </w:tbl>
    <w:p w14:paraId="5470F347">
      <w:pPr>
        <w:adjustRightInd w:val="0"/>
        <w:snapToGrid w:val="0"/>
        <w:spacing w:line="580" w:lineRule="exact"/>
        <w:ind w:firstLine="420" w:firstLineChars="150"/>
        <w:jc w:val="left"/>
        <w:rPr>
          <w:rFonts w:hint="eastAsia" w:ascii="宋体" w:hAnsi="宋体" w:cs="宋体"/>
          <w:color w:val="FF0000"/>
          <w:kern w:val="0"/>
          <w:sz w:val="28"/>
          <w:szCs w:val="28"/>
          <w:highlight w:val="none"/>
        </w:rPr>
      </w:pPr>
      <w:r>
        <w:rPr>
          <w:rFonts w:hint="eastAsia" w:ascii="宋体" w:hAnsi="宋体" w:cs="宋体"/>
          <w:color w:val="FF0000"/>
          <w:kern w:val="0"/>
          <w:sz w:val="28"/>
          <w:szCs w:val="28"/>
          <w:highlight w:val="none"/>
          <w:lang w:val="zh-CN"/>
        </w:rPr>
        <w:t>注：</w:t>
      </w:r>
      <w:r>
        <w:rPr>
          <w:rFonts w:hint="eastAsia" w:ascii="宋体" w:hAnsi="宋体" w:cs="宋体"/>
          <w:color w:val="FF0000"/>
          <w:kern w:val="0"/>
          <w:sz w:val="28"/>
          <w:szCs w:val="28"/>
          <w:highlight w:val="none"/>
        </w:rPr>
        <w:t>投标人必须在开标前将保证金汇入以上账户，否则作废标处理, 缴纳投标保证金账户为涉密账户，账号随机，请投标单位仔细核对账号后缴纳投标保证金，合同签订后，无息退回。</w:t>
      </w:r>
    </w:p>
    <w:p w14:paraId="394484B1">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5.3 投标人可在 “</w:t>
      </w:r>
      <w:r>
        <w:rPr>
          <w:rFonts w:hint="eastAsia" w:ascii="宋体" w:hAnsi="宋体" w:cs="宋体"/>
          <w:kern w:val="0"/>
          <w:sz w:val="28"/>
          <w:szCs w:val="28"/>
          <w:highlight w:val="none"/>
        </w:rPr>
        <w:t>宜兴</w:t>
      </w:r>
      <w:r>
        <w:rPr>
          <w:rFonts w:hint="eastAsia" w:ascii="宋体" w:hAnsi="宋体" w:cs="宋体"/>
          <w:kern w:val="0"/>
          <w:sz w:val="28"/>
          <w:szCs w:val="28"/>
          <w:highlight w:val="none"/>
          <w:lang w:eastAsia="zh-CN"/>
        </w:rPr>
        <w:t>公用环保集团有限公司</w:t>
      </w:r>
      <w:r>
        <w:rPr>
          <w:rFonts w:hint="eastAsia" w:ascii="宋体" w:hAnsi="宋体" w:cs="宋体"/>
          <w:kern w:val="0"/>
          <w:sz w:val="28"/>
          <w:szCs w:val="28"/>
          <w:highlight w:val="none"/>
          <w:lang w:val="en-US" w:eastAsia="zh-CN"/>
        </w:rPr>
        <w:t>”网站下载招标文件及有关资料。投标人须按招标文件要求提交全部资料并对招标文件各项内容作出实质性响应，否则投标无效。</w:t>
      </w:r>
    </w:p>
    <w:p w14:paraId="3F5E6601">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5.4 招标文件包括本文件目录所列全部内容及其附件，如有缺漏，请立即与江苏鸿成工程项目管理有限公司联系解决。</w:t>
      </w:r>
    </w:p>
    <w:p w14:paraId="4ED0FF16">
      <w:pPr>
        <w:adjustRightInd w:val="0"/>
        <w:snapToGrid w:val="0"/>
        <w:spacing w:line="580" w:lineRule="exact"/>
        <w:ind w:firstLine="420" w:firstLineChars="150"/>
        <w:jc w:val="left"/>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5.5 招标文件如与招标公告有不一致的地方，以招标文件为准。</w:t>
      </w:r>
    </w:p>
    <w:p w14:paraId="5FA156C3">
      <w:pPr>
        <w:pStyle w:val="4"/>
        <w:spacing w:before="0" w:after="0" w:line="580" w:lineRule="exact"/>
        <w:jc w:val="left"/>
        <w:rPr>
          <w:rFonts w:hint="eastAsia" w:ascii="宋体" w:hAnsi="宋体" w:cs="宋体"/>
          <w:sz w:val="28"/>
          <w:szCs w:val="28"/>
          <w:highlight w:val="none"/>
        </w:rPr>
      </w:pPr>
      <w:bookmarkStart w:id="27" w:name="_Toc27319"/>
      <w:bookmarkStart w:id="28" w:name="_Toc18985"/>
      <w:bookmarkStart w:id="29" w:name="_Toc93403944"/>
      <w:r>
        <w:rPr>
          <w:rFonts w:hint="eastAsia" w:ascii="宋体" w:hAnsi="宋体" w:cs="宋体"/>
          <w:sz w:val="28"/>
          <w:szCs w:val="28"/>
          <w:highlight w:val="none"/>
        </w:rPr>
        <w:t>6.</w:t>
      </w:r>
      <w:bookmarkEnd w:id="26"/>
      <w:r>
        <w:rPr>
          <w:rFonts w:hint="eastAsia" w:ascii="宋体" w:hAnsi="宋体" w:cs="宋体"/>
          <w:sz w:val="28"/>
          <w:szCs w:val="28"/>
          <w:highlight w:val="none"/>
        </w:rPr>
        <w:t xml:space="preserve"> 投标文件递交</w:t>
      </w:r>
      <w:bookmarkEnd w:id="27"/>
      <w:bookmarkEnd w:id="28"/>
      <w:bookmarkEnd w:id="29"/>
    </w:p>
    <w:p w14:paraId="4B8A691B">
      <w:pPr>
        <w:pStyle w:val="119"/>
        <w:widowControl/>
        <w:autoSpaceDE w:val="0"/>
        <w:spacing w:line="580" w:lineRule="exact"/>
        <w:ind w:firstLine="420" w:firstLineChars="150"/>
        <w:jc w:val="left"/>
        <w:rPr>
          <w:rFonts w:hint="eastAsia" w:ascii="宋体" w:hAnsi="宋体" w:cs="宋体"/>
          <w:kern w:val="0"/>
          <w:sz w:val="28"/>
          <w:szCs w:val="28"/>
          <w:highlight w:val="none"/>
        </w:rPr>
      </w:pPr>
      <w:bookmarkStart w:id="30" w:name="_Toc519004558"/>
      <w:r>
        <w:rPr>
          <w:rFonts w:hint="eastAsia" w:ascii="宋体" w:hAnsi="宋体" w:cs="宋体"/>
          <w:sz w:val="28"/>
          <w:szCs w:val="28"/>
          <w:highlight w:val="none"/>
        </w:rPr>
        <w:t>6.1 投标截止时间为</w:t>
      </w:r>
      <w:r>
        <w:rPr>
          <w:rFonts w:hint="eastAsia" w:ascii="宋体" w:hAnsi="宋体" w:cs="宋体"/>
          <w:kern w:val="0"/>
          <w:sz w:val="28"/>
          <w:szCs w:val="28"/>
          <w:highlight w:val="none"/>
        </w:rPr>
        <w:t>：</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17</w:t>
      </w:r>
      <w:r>
        <w:rPr>
          <w:rFonts w:hint="eastAsia" w:ascii="宋体" w:hAnsi="宋体" w:cs="宋体"/>
          <w:sz w:val="28"/>
          <w:szCs w:val="28"/>
          <w:highlight w:val="none"/>
        </w:rPr>
        <w:t>日</w:t>
      </w:r>
      <w:r>
        <w:rPr>
          <w:rFonts w:hint="eastAsia" w:ascii="宋体" w:hAnsi="宋体" w:cs="宋体"/>
          <w:sz w:val="28"/>
          <w:szCs w:val="28"/>
          <w:highlight w:val="none"/>
          <w:u w:val="single"/>
          <w:lang w:val="en-US" w:eastAsia="zh-CN"/>
        </w:rPr>
        <w:t>14</w:t>
      </w:r>
      <w:r>
        <w:rPr>
          <w:rFonts w:hint="eastAsia" w:ascii="宋体" w:hAnsi="宋体" w:cs="宋体"/>
          <w:sz w:val="28"/>
          <w:szCs w:val="28"/>
          <w:highlight w:val="none"/>
        </w:rPr>
        <w:t>时</w:t>
      </w:r>
      <w:r>
        <w:rPr>
          <w:rFonts w:hint="eastAsia" w:ascii="宋体" w:hAnsi="宋体" w:cs="宋体"/>
          <w:sz w:val="28"/>
          <w:szCs w:val="28"/>
          <w:highlight w:val="none"/>
          <w:u w:val="single"/>
          <w:lang w:val="en-US" w:eastAsia="zh-CN"/>
        </w:rPr>
        <w:t>00</w:t>
      </w:r>
      <w:r>
        <w:rPr>
          <w:rFonts w:hint="eastAsia" w:ascii="宋体" w:hAnsi="宋体" w:cs="宋体"/>
          <w:sz w:val="28"/>
          <w:szCs w:val="28"/>
          <w:highlight w:val="none"/>
        </w:rPr>
        <w:t>分</w:t>
      </w:r>
      <w:r>
        <w:rPr>
          <w:rFonts w:hint="eastAsia" w:ascii="宋体" w:hAnsi="宋体" w:cs="宋体"/>
          <w:sz w:val="28"/>
          <w:szCs w:val="28"/>
          <w:highlight w:val="none"/>
          <w:lang w:eastAsia="zh-CN"/>
        </w:rPr>
        <w:t>，地点为：</w:t>
      </w:r>
      <w:r>
        <w:rPr>
          <w:rFonts w:hint="eastAsia" w:ascii="宋体" w:hAnsi="宋体" w:cs="宋体"/>
          <w:sz w:val="28"/>
          <w:szCs w:val="28"/>
          <w:highlight w:val="none"/>
          <w:u w:val="single"/>
          <w:lang w:eastAsia="zh-CN"/>
        </w:rPr>
        <w:t>宜兴市公用环保集团有限公司二楼开标室（宜兴市环科园绿园路528号孵化园）</w:t>
      </w:r>
      <w:r>
        <w:rPr>
          <w:rFonts w:hint="eastAsia" w:ascii="宋体" w:hAnsi="宋体" w:cs="宋体"/>
          <w:kern w:val="0"/>
          <w:sz w:val="28"/>
          <w:szCs w:val="28"/>
          <w:highlight w:val="none"/>
        </w:rPr>
        <w:t>。</w:t>
      </w:r>
    </w:p>
    <w:p w14:paraId="17EF0ABA">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6.2逾期送达的或者未送达指定地点的投标文件，招标人不予受理。</w:t>
      </w:r>
    </w:p>
    <w:p w14:paraId="061F14FE">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6.3开标</w:t>
      </w:r>
      <w:r>
        <w:rPr>
          <w:rFonts w:hint="eastAsia" w:ascii="宋体" w:hAnsi="宋体" w:cs="宋体"/>
          <w:sz w:val="28"/>
          <w:szCs w:val="28"/>
          <w:highlight w:val="none"/>
          <w:lang w:eastAsia="zh-CN"/>
        </w:rPr>
        <w:t>前资格</w:t>
      </w:r>
      <w:r>
        <w:rPr>
          <w:rFonts w:hint="eastAsia" w:ascii="宋体" w:hAnsi="宋体" w:cs="宋体"/>
          <w:sz w:val="28"/>
          <w:szCs w:val="28"/>
          <w:highlight w:val="none"/>
        </w:rPr>
        <w:t>审查资料</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原件或复印件加盖公章</w:t>
      </w:r>
      <w:r>
        <w:rPr>
          <w:rFonts w:hint="eastAsia" w:ascii="宋体" w:hAnsi="宋体" w:cs="宋体"/>
          <w:sz w:val="28"/>
          <w:szCs w:val="28"/>
          <w:highlight w:val="none"/>
          <w:lang w:eastAsia="zh-CN"/>
        </w:rPr>
        <w:t>）</w:t>
      </w:r>
      <w:r>
        <w:rPr>
          <w:rFonts w:hint="eastAsia" w:ascii="宋体" w:hAnsi="宋体" w:cs="宋体"/>
          <w:sz w:val="28"/>
          <w:szCs w:val="28"/>
          <w:highlight w:val="none"/>
        </w:rPr>
        <w:t>：①法定代表人身份证明书；②授权委托书；③授权委托人身份证和近三个月投标单位为其办理的社保缴费清单（指</w:t>
      </w:r>
      <w:r>
        <w:rPr>
          <w:rFonts w:hint="eastAsia" w:ascii="宋体" w:hAnsi="宋体" w:cs="宋体"/>
          <w:sz w:val="28"/>
          <w:szCs w:val="28"/>
          <w:highlight w:val="none"/>
          <w:lang w:eastAsia="zh-CN"/>
        </w:rPr>
        <w:t>202</w:t>
      </w:r>
      <w:r>
        <w:rPr>
          <w:rFonts w:hint="eastAsia" w:ascii="宋体" w:hAnsi="宋体" w:cs="宋体"/>
          <w:sz w:val="28"/>
          <w:szCs w:val="28"/>
          <w:highlight w:val="none"/>
          <w:lang w:val="en-US" w:eastAsia="zh-CN"/>
        </w:rPr>
        <w:t>4</w:t>
      </w:r>
      <w:r>
        <w:rPr>
          <w:rFonts w:hint="eastAsia" w:ascii="宋体" w:hAnsi="宋体" w:cs="宋体"/>
          <w:sz w:val="28"/>
          <w:szCs w:val="28"/>
          <w:highlight w:val="none"/>
          <w:lang w:eastAsia="zh-CN"/>
        </w:rPr>
        <w:t>年</w:t>
      </w:r>
      <w:r>
        <w:rPr>
          <w:rFonts w:hint="eastAsia" w:ascii="宋体" w:hAnsi="宋体" w:cs="宋体"/>
          <w:sz w:val="28"/>
          <w:szCs w:val="28"/>
          <w:highlight w:val="none"/>
          <w:lang w:val="en-US" w:eastAsia="zh-CN"/>
        </w:rPr>
        <w:t>9</w:t>
      </w:r>
      <w:r>
        <w:rPr>
          <w:rFonts w:hint="eastAsia" w:ascii="宋体" w:hAnsi="宋体" w:cs="宋体"/>
          <w:sz w:val="28"/>
          <w:szCs w:val="28"/>
          <w:highlight w:val="none"/>
          <w:lang w:eastAsia="zh-CN"/>
        </w:rPr>
        <w:t>月-202</w:t>
      </w:r>
      <w:r>
        <w:rPr>
          <w:rFonts w:hint="eastAsia" w:ascii="宋体" w:hAnsi="宋体" w:cs="宋体"/>
          <w:sz w:val="28"/>
          <w:szCs w:val="28"/>
          <w:highlight w:val="none"/>
          <w:lang w:val="en-US" w:eastAsia="zh-CN"/>
        </w:rPr>
        <w:t>5</w:t>
      </w:r>
      <w:r>
        <w:rPr>
          <w:rFonts w:hint="eastAsia" w:ascii="宋体" w:hAnsi="宋体" w:cs="宋体"/>
          <w:sz w:val="28"/>
          <w:szCs w:val="28"/>
          <w:highlight w:val="none"/>
          <w:lang w:eastAsia="zh-CN"/>
        </w:rPr>
        <w:t>年</w:t>
      </w:r>
      <w:r>
        <w:rPr>
          <w:rFonts w:hint="eastAsia" w:ascii="宋体" w:hAnsi="宋体" w:cs="宋体"/>
          <w:sz w:val="28"/>
          <w:szCs w:val="28"/>
          <w:highlight w:val="none"/>
          <w:lang w:val="en-US" w:eastAsia="zh-CN"/>
        </w:rPr>
        <w:t>2</w:t>
      </w:r>
      <w:r>
        <w:rPr>
          <w:rFonts w:hint="eastAsia" w:ascii="宋体" w:hAnsi="宋体" w:cs="宋体"/>
          <w:sz w:val="28"/>
          <w:szCs w:val="28"/>
          <w:highlight w:val="none"/>
          <w:lang w:eastAsia="zh-CN"/>
        </w:rPr>
        <w:t>月</w:t>
      </w:r>
      <w:r>
        <w:rPr>
          <w:rFonts w:hint="eastAsia" w:ascii="宋体" w:hAnsi="宋体" w:cs="宋体"/>
          <w:sz w:val="28"/>
          <w:szCs w:val="28"/>
          <w:highlight w:val="none"/>
        </w:rPr>
        <w:t>任意连续三个月，法定代表人无需提供，如授权委托人同时为投标项目负责人则不需提供）；④营业执照（副本）；⑤资质证书（副本）；⑥</w:t>
      </w:r>
      <w:r>
        <w:rPr>
          <w:rFonts w:hint="eastAsia" w:ascii="宋体" w:hAnsi="宋体" w:cs="宋体"/>
          <w:sz w:val="28"/>
          <w:szCs w:val="28"/>
          <w:highlight w:val="none"/>
          <w:lang w:val="en-US" w:eastAsia="zh-CN"/>
        </w:rPr>
        <w:t>项目负责人证书和近三个月投标单位为其办理的社保缴费清单（指</w:t>
      </w:r>
      <w:r>
        <w:rPr>
          <w:rFonts w:hint="eastAsia" w:ascii="宋体" w:hAnsi="宋体" w:cs="宋体"/>
          <w:sz w:val="28"/>
          <w:szCs w:val="28"/>
          <w:highlight w:val="none"/>
          <w:lang w:val="en-US" w:eastAsia="zh-CN"/>
        </w:rPr>
        <w:t>2024年9月-2025年2月</w:t>
      </w:r>
      <w:r>
        <w:rPr>
          <w:rFonts w:hint="eastAsia" w:ascii="宋体" w:hAnsi="宋体" w:cs="宋体"/>
          <w:sz w:val="28"/>
          <w:szCs w:val="28"/>
          <w:highlight w:val="none"/>
          <w:lang w:val="en-US" w:eastAsia="zh-CN"/>
        </w:rPr>
        <w:t>任意连续三个月）</w:t>
      </w:r>
      <w:r>
        <w:rPr>
          <w:rFonts w:hint="eastAsia" w:ascii="宋体" w:hAnsi="宋体" w:cs="宋体"/>
          <w:sz w:val="28"/>
          <w:szCs w:val="28"/>
          <w:highlight w:val="none"/>
        </w:rPr>
        <w:t>；⑦投标保证金</w:t>
      </w:r>
      <w:r>
        <w:rPr>
          <w:rFonts w:hint="eastAsia" w:ascii="宋体" w:hAnsi="宋体" w:cs="宋体"/>
          <w:sz w:val="28"/>
          <w:szCs w:val="28"/>
          <w:highlight w:val="none"/>
          <w:lang w:eastAsia="zh-CN"/>
        </w:rPr>
        <w:t>证明材料</w:t>
      </w:r>
      <w:r>
        <w:rPr>
          <w:rFonts w:hint="eastAsia" w:ascii="宋体" w:hAnsi="宋体" w:cs="宋体"/>
          <w:sz w:val="28"/>
          <w:szCs w:val="28"/>
          <w:highlight w:val="none"/>
        </w:rPr>
        <w:t>。</w:t>
      </w:r>
    </w:p>
    <w:p w14:paraId="495857A9">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注：法定代表人或其授权委托人出席开标会。</w:t>
      </w:r>
    </w:p>
    <w:p w14:paraId="3980E11A">
      <w:pPr>
        <w:pStyle w:val="4"/>
        <w:spacing w:before="0" w:after="0" w:line="580" w:lineRule="exact"/>
        <w:jc w:val="left"/>
        <w:rPr>
          <w:rFonts w:hint="eastAsia" w:ascii="宋体" w:hAnsi="宋体" w:cs="宋体"/>
          <w:sz w:val="28"/>
          <w:szCs w:val="28"/>
          <w:highlight w:val="none"/>
        </w:rPr>
      </w:pPr>
      <w:bookmarkStart w:id="31" w:name="_Toc28961"/>
      <w:bookmarkStart w:id="32" w:name="_Toc25913"/>
      <w:bookmarkStart w:id="33" w:name="_Toc93403945"/>
      <w:r>
        <w:rPr>
          <w:rFonts w:hint="eastAsia" w:ascii="宋体" w:hAnsi="宋体" w:cs="宋体"/>
          <w:sz w:val="28"/>
          <w:szCs w:val="28"/>
          <w:highlight w:val="none"/>
        </w:rPr>
        <w:t>7.发布公告的媒介</w:t>
      </w:r>
      <w:bookmarkEnd w:id="31"/>
      <w:bookmarkEnd w:id="32"/>
      <w:bookmarkEnd w:id="33"/>
    </w:p>
    <w:p w14:paraId="2F1FFB21">
      <w:pPr>
        <w:adjustRightInd w:val="0"/>
        <w:snapToGrid w:val="0"/>
        <w:spacing w:line="580" w:lineRule="exact"/>
        <w:ind w:firstLine="420" w:firstLineChars="150"/>
        <w:jc w:val="left"/>
        <w:rPr>
          <w:rFonts w:hint="eastAsia" w:ascii="宋体" w:hAnsi="宋体" w:eastAsia="宋体" w:cs="宋体"/>
          <w:color w:val="auto"/>
          <w:kern w:val="0"/>
          <w:sz w:val="24"/>
          <w:highlight w:val="none"/>
        </w:rPr>
      </w:pPr>
      <w:r>
        <w:rPr>
          <w:rFonts w:hint="eastAsia" w:ascii="宋体" w:hAnsi="宋体" w:cs="宋体"/>
          <w:sz w:val="28"/>
          <w:szCs w:val="28"/>
          <w:highlight w:val="none"/>
        </w:rPr>
        <w:t>7.1</w:t>
      </w:r>
      <w:r>
        <w:rPr>
          <w:rFonts w:hint="eastAsia" w:ascii="宋体" w:hAnsi="宋体" w:eastAsia="宋体" w:cs="宋体"/>
          <w:sz w:val="28"/>
          <w:szCs w:val="28"/>
          <w:highlight w:val="none"/>
        </w:rPr>
        <w:t>本次招标公告在“宜兴</w:t>
      </w:r>
      <w:r>
        <w:rPr>
          <w:rFonts w:hint="eastAsia" w:ascii="宋体" w:hAnsi="宋体" w:eastAsia="宋体" w:cs="宋体"/>
          <w:sz w:val="28"/>
          <w:szCs w:val="28"/>
          <w:highlight w:val="none"/>
          <w:lang w:eastAsia="zh-CN"/>
        </w:rPr>
        <w:t>公用环保集团有限公司</w:t>
      </w:r>
      <w:r>
        <w:rPr>
          <w:rFonts w:hint="eastAsia" w:ascii="宋体" w:hAnsi="宋体" w:eastAsia="宋体" w:cs="宋体"/>
          <w:sz w:val="28"/>
          <w:szCs w:val="28"/>
          <w:highlight w:val="none"/>
        </w:rPr>
        <w:t>”站上发布。</w:t>
      </w:r>
    </w:p>
    <w:p w14:paraId="1625A198">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7.2本公告发布日期从</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8</w:t>
      </w:r>
      <w:r>
        <w:rPr>
          <w:rFonts w:hint="eastAsia" w:ascii="宋体" w:hAnsi="宋体" w:cs="宋体"/>
          <w:sz w:val="28"/>
          <w:szCs w:val="28"/>
          <w:highlight w:val="none"/>
        </w:rPr>
        <w:t>日至</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12</w:t>
      </w:r>
      <w:r>
        <w:rPr>
          <w:rFonts w:hint="eastAsia" w:ascii="宋体" w:hAnsi="宋体" w:cs="宋体"/>
          <w:sz w:val="28"/>
          <w:szCs w:val="28"/>
          <w:highlight w:val="none"/>
        </w:rPr>
        <w:t>日</w:t>
      </w:r>
      <w:r>
        <w:rPr>
          <w:rFonts w:hint="eastAsia" w:ascii="宋体" w:hAnsi="宋体" w:cs="宋体"/>
          <w:sz w:val="28"/>
          <w:szCs w:val="28"/>
          <w:highlight w:val="none"/>
        </w:rPr>
        <w:t>，本公告为第</w:t>
      </w:r>
      <w:r>
        <w:rPr>
          <w:rFonts w:hint="eastAsia" w:ascii="宋体" w:hAnsi="宋体" w:cs="宋体"/>
          <w:sz w:val="28"/>
          <w:szCs w:val="28"/>
          <w:highlight w:val="none"/>
          <w:u w:val="single"/>
        </w:rPr>
        <w:t>1</w:t>
      </w:r>
      <w:r>
        <w:rPr>
          <w:rFonts w:hint="eastAsia" w:ascii="宋体" w:hAnsi="宋体" w:cs="宋体"/>
          <w:sz w:val="28"/>
          <w:szCs w:val="28"/>
          <w:highlight w:val="none"/>
        </w:rPr>
        <w:t>次发布。</w:t>
      </w:r>
    </w:p>
    <w:p w14:paraId="3CB4FB97">
      <w:pPr>
        <w:pStyle w:val="4"/>
        <w:spacing w:before="0" w:after="0" w:line="580" w:lineRule="exact"/>
        <w:jc w:val="left"/>
        <w:rPr>
          <w:rFonts w:hint="eastAsia" w:ascii="宋体" w:hAnsi="宋体" w:cs="宋体"/>
          <w:sz w:val="28"/>
          <w:szCs w:val="28"/>
          <w:highlight w:val="none"/>
        </w:rPr>
      </w:pPr>
      <w:bookmarkStart w:id="34" w:name="_Toc93403946"/>
      <w:bookmarkStart w:id="35" w:name="_Toc28357"/>
      <w:bookmarkStart w:id="36" w:name="_Toc5598"/>
      <w:r>
        <w:rPr>
          <w:rFonts w:hint="eastAsia" w:ascii="宋体" w:hAnsi="宋体" w:cs="宋体"/>
          <w:sz w:val="28"/>
          <w:szCs w:val="28"/>
          <w:highlight w:val="none"/>
        </w:rPr>
        <w:t>8.其他：</w:t>
      </w:r>
      <w:bookmarkEnd w:id="34"/>
      <w:bookmarkEnd w:id="35"/>
      <w:bookmarkEnd w:id="36"/>
    </w:p>
    <w:p w14:paraId="0624B29D">
      <w:pPr>
        <w:autoSpaceDN w:val="0"/>
        <w:spacing w:line="580" w:lineRule="exact"/>
        <w:ind w:firstLine="420" w:firstLineChars="150"/>
        <w:jc w:val="left"/>
        <w:rPr>
          <w:rFonts w:hint="eastAsia" w:ascii="宋体" w:hAnsi="宋体" w:cs="宋体"/>
          <w:sz w:val="28"/>
          <w:szCs w:val="28"/>
          <w:highlight w:val="none"/>
        </w:rPr>
      </w:pPr>
      <w:bookmarkStart w:id="37" w:name="_Toc277171777"/>
      <w:bookmarkStart w:id="38" w:name="_Toc330978275"/>
      <w:bookmarkStart w:id="39" w:name="_Toc266803099"/>
      <w:r>
        <w:rPr>
          <w:rFonts w:hint="eastAsia" w:ascii="宋体" w:hAnsi="宋体" w:cs="宋体"/>
          <w:sz w:val="28"/>
          <w:szCs w:val="28"/>
          <w:highlight w:val="none"/>
        </w:rPr>
        <w:t>8.1有不良行为在公示期内被暂停投标资格的投标人不得参加本项目投标。</w:t>
      </w:r>
    </w:p>
    <w:p w14:paraId="78E2E78F">
      <w:pPr>
        <w:pStyle w:val="30"/>
        <w:spacing w:before="0" w:beforeAutospacing="0" w:after="0" w:afterAutospacing="0" w:line="580" w:lineRule="exact"/>
        <w:ind w:firstLine="420" w:firstLineChars="150"/>
        <w:rPr>
          <w:rFonts w:hint="default" w:eastAsia="宋体" w:cs="宋体"/>
          <w:sz w:val="28"/>
          <w:szCs w:val="28"/>
          <w:highlight w:val="none"/>
          <w:shd w:val="clear" w:color="auto" w:fill="FFFFFF"/>
          <w:lang w:val="en-US" w:eastAsia="zh-CN"/>
        </w:rPr>
      </w:pPr>
      <w:r>
        <w:rPr>
          <w:rFonts w:hint="eastAsia" w:cs="宋体"/>
          <w:sz w:val="28"/>
          <w:szCs w:val="28"/>
          <w:highlight w:val="none"/>
          <w:shd w:val="clear" w:color="auto" w:fill="FFFFFF"/>
        </w:rPr>
        <w:t>8.2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bookmarkEnd w:id="30"/>
    <w:bookmarkEnd w:id="37"/>
    <w:bookmarkEnd w:id="38"/>
    <w:bookmarkEnd w:id="39"/>
    <w:p w14:paraId="126F6CA0">
      <w:pPr>
        <w:pStyle w:val="4"/>
        <w:spacing w:before="0" w:after="0" w:line="580" w:lineRule="exact"/>
        <w:jc w:val="left"/>
        <w:rPr>
          <w:rFonts w:hint="eastAsia" w:ascii="宋体" w:hAnsi="宋体" w:cs="宋体"/>
          <w:sz w:val="28"/>
          <w:szCs w:val="28"/>
          <w:highlight w:val="none"/>
        </w:rPr>
      </w:pPr>
      <w:bookmarkStart w:id="40" w:name="_Toc398107834"/>
      <w:bookmarkStart w:id="41" w:name="_Toc8737"/>
      <w:bookmarkStart w:id="42" w:name="_Toc93403947"/>
      <w:bookmarkStart w:id="43" w:name="_Toc4518"/>
      <w:r>
        <w:rPr>
          <w:rFonts w:hint="eastAsia" w:ascii="宋体" w:hAnsi="宋体" w:cs="宋体"/>
          <w:sz w:val="28"/>
          <w:szCs w:val="28"/>
          <w:highlight w:val="none"/>
        </w:rPr>
        <w:t>9.联系方式</w:t>
      </w:r>
      <w:bookmarkEnd w:id="40"/>
      <w:bookmarkEnd w:id="41"/>
      <w:bookmarkEnd w:id="42"/>
      <w:bookmarkEnd w:id="43"/>
    </w:p>
    <w:p w14:paraId="57A6E434">
      <w:pPr>
        <w:pStyle w:val="119"/>
        <w:autoSpaceDN w:val="0"/>
        <w:spacing w:line="580" w:lineRule="exact"/>
        <w:ind w:right="420"/>
        <w:jc w:val="left"/>
        <w:rPr>
          <w:rFonts w:hint="eastAsia" w:ascii="宋体" w:hAnsi="宋体" w:cs="宋体"/>
          <w:sz w:val="28"/>
          <w:szCs w:val="28"/>
          <w:highlight w:val="none"/>
        </w:rPr>
      </w:pPr>
      <w:r>
        <w:rPr>
          <w:rFonts w:hint="eastAsia" w:ascii="宋体" w:hAnsi="宋体" w:cs="宋体"/>
          <w:sz w:val="28"/>
          <w:szCs w:val="28"/>
          <w:highlight w:val="none"/>
        </w:rPr>
        <w:t>招 标 人：</w:t>
      </w:r>
      <w:r>
        <w:rPr>
          <w:rFonts w:hint="eastAsia" w:ascii="宋体" w:hAnsi="宋体" w:cs="宋体"/>
          <w:sz w:val="28"/>
          <w:szCs w:val="28"/>
          <w:highlight w:val="none"/>
          <w:u w:val="single"/>
        </w:rPr>
        <w:t>宜兴市环保集团有限公司</w:t>
      </w:r>
    </w:p>
    <w:p w14:paraId="388D93EE">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地    址：</w:t>
      </w:r>
      <w:r>
        <w:rPr>
          <w:rFonts w:hint="eastAsia" w:ascii="宋体" w:hAnsi="宋体" w:cs="宋体"/>
          <w:sz w:val="28"/>
          <w:szCs w:val="28"/>
          <w:highlight w:val="none"/>
          <w:u w:val="single"/>
        </w:rPr>
        <w:t>宜兴市</w:t>
      </w:r>
    </w:p>
    <w:p w14:paraId="2A70E0A9">
      <w:pPr>
        <w:pStyle w:val="119"/>
        <w:autoSpaceDN w:val="0"/>
        <w:spacing w:line="580" w:lineRule="exact"/>
        <w:jc w:val="left"/>
        <w:rPr>
          <w:rFonts w:hint="eastAsia" w:ascii="宋体" w:hAnsi="宋体" w:cs="宋体"/>
          <w:sz w:val="28"/>
          <w:szCs w:val="28"/>
          <w:highlight w:val="none"/>
        </w:rPr>
      </w:pPr>
      <w:r>
        <w:rPr>
          <w:rFonts w:hint="eastAsia" w:ascii="宋体" w:hAnsi="宋体" w:cs="宋体"/>
          <w:sz w:val="28"/>
          <w:szCs w:val="28"/>
          <w:highlight w:val="none"/>
        </w:rPr>
        <w:t>联 系 人（异议受理人）：</w:t>
      </w:r>
      <w:r>
        <w:rPr>
          <w:rFonts w:hint="eastAsia" w:ascii="宋体" w:hAnsi="宋体" w:cs="宋体"/>
          <w:sz w:val="28"/>
          <w:szCs w:val="28"/>
          <w:highlight w:val="none"/>
          <w:u w:val="single"/>
        </w:rPr>
        <w:t>刘先生</w:t>
      </w:r>
    </w:p>
    <w:p w14:paraId="47678D02">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电    话：</w:t>
      </w:r>
      <w:r>
        <w:rPr>
          <w:rFonts w:hint="eastAsia" w:ascii="宋体" w:hAnsi="宋体" w:cs="宋体"/>
          <w:sz w:val="28"/>
          <w:szCs w:val="28"/>
          <w:highlight w:val="none"/>
          <w:u w:val="single"/>
        </w:rPr>
        <w:t>0510-80718885</w:t>
      </w:r>
    </w:p>
    <w:p w14:paraId="6A9968DB">
      <w:pPr>
        <w:pStyle w:val="121"/>
        <w:autoSpaceDN w:val="0"/>
        <w:ind w:right="420"/>
        <w:jc w:val="left"/>
        <w:rPr>
          <w:rFonts w:hint="eastAsia" w:ascii="宋体" w:hAnsi="宋体" w:cs="宋体"/>
          <w:sz w:val="28"/>
          <w:szCs w:val="28"/>
          <w:highlight w:val="none"/>
          <w:u w:val="single"/>
        </w:rPr>
      </w:pPr>
      <w:r>
        <w:rPr>
          <w:rFonts w:hint="eastAsia" w:ascii="宋体" w:hAnsi="宋体" w:cs="宋体"/>
          <w:sz w:val="28"/>
          <w:szCs w:val="28"/>
          <w:highlight w:val="none"/>
        </w:rPr>
        <w:t>招标代理机构：</w:t>
      </w:r>
      <w:r>
        <w:rPr>
          <w:rFonts w:hint="eastAsia" w:ascii="宋体" w:hAnsi="宋体" w:cs="宋体"/>
          <w:sz w:val="28"/>
          <w:szCs w:val="28"/>
          <w:highlight w:val="none"/>
          <w:u w:val="single"/>
        </w:rPr>
        <w:t>江苏鸿成工程项目管理有限公司</w:t>
      </w:r>
    </w:p>
    <w:p w14:paraId="1A587F50">
      <w:pPr>
        <w:pStyle w:val="121"/>
        <w:autoSpaceDN w:val="0"/>
        <w:jc w:val="left"/>
        <w:rPr>
          <w:rFonts w:hint="eastAsia" w:ascii="宋体" w:hAnsi="宋体" w:cs="宋体"/>
          <w:sz w:val="28"/>
          <w:szCs w:val="28"/>
          <w:highlight w:val="none"/>
          <w:u w:val="single"/>
        </w:rPr>
      </w:pPr>
      <w:r>
        <w:rPr>
          <w:rFonts w:hint="eastAsia" w:ascii="宋体" w:hAnsi="宋体" w:cs="宋体"/>
          <w:sz w:val="28"/>
          <w:szCs w:val="28"/>
          <w:highlight w:val="none"/>
        </w:rPr>
        <w:t>地    址：</w:t>
      </w:r>
      <w:r>
        <w:rPr>
          <w:rFonts w:hint="eastAsia" w:ascii="宋体" w:hAnsi="宋体" w:cs="宋体"/>
          <w:sz w:val="28"/>
          <w:szCs w:val="28"/>
          <w:highlight w:val="none"/>
          <w:u w:val="single"/>
        </w:rPr>
        <w:t>宜兴市杏园路108号5号楼</w:t>
      </w:r>
    </w:p>
    <w:p w14:paraId="5018ED2A">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联 系 人：</w:t>
      </w:r>
      <w:r>
        <w:rPr>
          <w:rFonts w:hint="eastAsia" w:ascii="宋体" w:hAnsi="宋体" w:cs="宋体"/>
          <w:sz w:val="28"/>
          <w:szCs w:val="28"/>
          <w:highlight w:val="none"/>
          <w:u w:val="single"/>
          <w:lang w:val="en-US" w:eastAsia="zh-CN"/>
        </w:rPr>
        <w:t>刘</w:t>
      </w:r>
      <w:r>
        <w:rPr>
          <w:rFonts w:hint="eastAsia" w:ascii="宋体" w:hAnsi="宋体" w:cs="宋体"/>
          <w:sz w:val="28"/>
          <w:szCs w:val="28"/>
          <w:highlight w:val="none"/>
          <w:u w:val="single"/>
        </w:rPr>
        <w:t>先生</w:t>
      </w:r>
    </w:p>
    <w:p w14:paraId="674F3A93">
      <w:pPr>
        <w:pStyle w:val="119"/>
        <w:autoSpaceDN w:val="0"/>
        <w:spacing w:line="580" w:lineRule="exact"/>
        <w:jc w:val="left"/>
        <w:rPr>
          <w:rFonts w:hint="default" w:ascii="宋体" w:hAnsi="宋体" w:eastAsia="宋体" w:cs="宋体"/>
          <w:sz w:val="28"/>
          <w:szCs w:val="28"/>
          <w:highlight w:val="none"/>
          <w:lang w:val="en-US" w:eastAsia="zh-CN"/>
        </w:rPr>
      </w:pPr>
      <w:r>
        <w:rPr>
          <w:rFonts w:hint="eastAsia" w:ascii="宋体" w:hAnsi="宋体" w:cs="宋体"/>
          <w:sz w:val="28"/>
          <w:szCs w:val="28"/>
          <w:highlight w:val="none"/>
        </w:rPr>
        <w:t>电    话：</w:t>
      </w:r>
      <w:r>
        <w:rPr>
          <w:rFonts w:hint="eastAsia" w:ascii="宋体" w:hAnsi="宋体" w:cs="宋体"/>
          <w:sz w:val="28"/>
          <w:szCs w:val="28"/>
          <w:highlight w:val="none"/>
          <w:u w:val="single"/>
          <w:lang w:val="en-US" w:eastAsia="zh-CN"/>
        </w:rPr>
        <w:t>18861558989</w:t>
      </w:r>
    </w:p>
    <w:p w14:paraId="6586FCD5">
      <w:pPr>
        <w:adjustRightInd w:val="0"/>
        <w:snapToGrid w:val="0"/>
        <w:spacing w:line="580" w:lineRule="exact"/>
        <w:jc w:val="right"/>
        <w:rPr>
          <w:rFonts w:hint="eastAsia" w:ascii="宋体" w:hAnsi="宋体" w:cs="宋体"/>
          <w:sz w:val="28"/>
          <w:szCs w:val="28"/>
          <w:highlight w:val="none"/>
        </w:rPr>
      </w:pP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8</w:t>
      </w:r>
      <w:r>
        <w:rPr>
          <w:rFonts w:hint="eastAsia" w:ascii="宋体" w:hAnsi="宋体" w:cs="宋体"/>
          <w:sz w:val="28"/>
          <w:szCs w:val="28"/>
          <w:highlight w:val="none"/>
        </w:rPr>
        <w:t>日</w:t>
      </w:r>
    </w:p>
    <w:p w14:paraId="51DE9A35">
      <w:pPr>
        <w:spacing w:line="580" w:lineRule="exact"/>
        <w:ind w:firstLine="560" w:firstLineChars="200"/>
        <w:jc w:val="left"/>
        <w:rPr>
          <w:rFonts w:hint="eastAsia" w:ascii="宋体" w:hAnsi="宋体" w:cs="宋体"/>
          <w:sz w:val="28"/>
          <w:szCs w:val="28"/>
          <w:highlight w:val="none"/>
        </w:rPr>
      </w:pPr>
    </w:p>
    <w:p w14:paraId="02D54090">
      <w:pPr>
        <w:spacing w:line="580" w:lineRule="exact"/>
        <w:jc w:val="left"/>
        <w:rPr>
          <w:rFonts w:hint="eastAsia" w:ascii="宋体" w:hAnsi="宋体" w:cs="宋体"/>
          <w:b/>
          <w:sz w:val="28"/>
          <w:szCs w:val="28"/>
          <w:highlight w:val="none"/>
        </w:rPr>
      </w:pPr>
      <w:r>
        <w:rPr>
          <w:rFonts w:hint="eastAsia" w:ascii="宋体" w:hAnsi="宋体" w:cs="宋体"/>
          <w:snapToGrid w:val="0"/>
          <w:sz w:val="28"/>
          <w:szCs w:val="28"/>
          <w:highlight w:val="none"/>
        </w:rPr>
        <w:br w:type="page"/>
      </w:r>
      <w:bookmarkStart w:id="404" w:name="_GoBack"/>
      <w:bookmarkEnd w:id="404"/>
    </w:p>
    <w:p w14:paraId="4A1A85C4">
      <w:pPr>
        <w:jc w:val="left"/>
        <w:rPr>
          <w:rFonts w:hint="eastAsia" w:ascii="宋体" w:hAnsi="宋体" w:cs="宋体"/>
          <w:b/>
          <w:sz w:val="28"/>
          <w:szCs w:val="36"/>
          <w:highlight w:val="none"/>
        </w:rPr>
      </w:pPr>
      <w:r>
        <w:rPr>
          <w:rFonts w:hint="eastAsia" w:ascii="宋体" w:hAnsi="宋体" w:cs="宋体"/>
          <w:b/>
          <w:sz w:val="28"/>
          <w:szCs w:val="36"/>
          <w:highlight w:val="none"/>
        </w:rPr>
        <w:t>附件：评标细则</w:t>
      </w:r>
    </w:p>
    <w:p w14:paraId="768A858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本工程采用综合评估法评标办法，由依法组建的评标委员会按下列评分细则评分,以评标委员会所评得的综合得分从高到低按顺序排列,并推荐不超过三位得分最高者为中标候选人，如投标人得分相同时，则投标报价低的优先，如投标报价也相同，由招标人以抽签方式确定排序；中标人放弃中标、因不可抗力提出不能履行合同，或者招标文件规定应当提交履约保证金而在规定时限内未能提交的，招标人可以确定排序第二的中标候选人为中标人，依此类推。</w:t>
      </w:r>
    </w:p>
    <w:p w14:paraId="3B32386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一、中标人的投标应当符合下列条件：</w:t>
      </w:r>
    </w:p>
    <w:p w14:paraId="10ABB57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1、能最大限度满足招标文件中规定的各项综合评分标准；</w:t>
      </w:r>
    </w:p>
    <w:p w14:paraId="265C95F5">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2、经评审的综合得分最高。</w:t>
      </w:r>
    </w:p>
    <w:p w14:paraId="48F18CA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二、主要评分项目：100 分</w:t>
      </w:r>
    </w:p>
    <w:p w14:paraId="75AEBD49">
      <w:pPr>
        <w:spacing w:line="360" w:lineRule="auto"/>
        <w:ind w:firstLine="452" w:firstLineChars="200"/>
        <w:jc w:val="left"/>
        <w:rPr>
          <w:rFonts w:hint="eastAsia" w:ascii="宋体" w:hAnsi="宋体" w:eastAsia="宋体" w:cs="宋体"/>
          <w:color w:val="auto"/>
          <w:spacing w:val="-7"/>
          <w:sz w:val="24"/>
          <w:szCs w:val="24"/>
          <w:highlight w:val="none"/>
        </w:rPr>
      </w:pPr>
      <w:r>
        <w:rPr>
          <w:rFonts w:hint="eastAsia" w:ascii="宋体" w:hAnsi="宋体" w:eastAsia="宋体" w:cs="宋体"/>
          <w:color w:val="auto"/>
          <w:spacing w:val="-7"/>
          <w:sz w:val="24"/>
          <w:szCs w:val="24"/>
          <w:highlight w:val="none"/>
        </w:rPr>
        <w:t>（一）全过程工程咨询服务实施方案：</w:t>
      </w:r>
      <w:r>
        <w:rPr>
          <w:rFonts w:hint="eastAsia" w:ascii="宋体" w:hAnsi="宋体" w:cs="宋体"/>
          <w:color w:val="auto"/>
          <w:spacing w:val="-7"/>
          <w:sz w:val="24"/>
          <w:szCs w:val="24"/>
          <w:highlight w:val="none"/>
          <w:lang w:val="en-US" w:eastAsia="zh-CN"/>
        </w:rPr>
        <w:t>6</w:t>
      </w:r>
      <w:r>
        <w:rPr>
          <w:rFonts w:hint="eastAsia" w:ascii="宋体" w:hAnsi="宋体" w:eastAsia="宋体" w:cs="宋体"/>
          <w:color w:val="auto"/>
          <w:spacing w:val="-7"/>
          <w:sz w:val="24"/>
          <w:szCs w:val="24"/>
          <w:highlight w:val="none"/>
        </w:rPr>
        <w:t>分</w:t>
      </w:r>
    </w:p>
    <w:p w14:paraId="4BA07DB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（二）投标报价：</w:t>
      </w:r>
      <w:r>
        <w:rPr>
          <w:rFonts w:hint="eastAsia" w:ascii="宋体" w:hAnsi="宋体" w:cs="宋体"/>
          <w:spacing w:val="-7"/>
          <w:sz w:val="24"/>
          <w:szCs w:val="24"/>
          <w:highlight w:val="none"/>
          <w:lang w:val="en-US" w:eastAsia="zh-CN"/>
        </w:rPr>
        <w:t>73</w:t>
      </w:r>
      <w:r>
        <w:rPr>
          <w:rFonts w:hint="eastAsia" w:ascii="宋体" w:hAnsi="宋体" w:eastAsia="宋体" w:cs="宋体"/>
          <w:spacing w:val="-7"/>
          <w:sz w:val="24"/>
          <w:szCs w:val="24"/>
          <w:highlight w:val="none"/>
        </w:rPr>
        <w:t>分</w:t>
      </w:r>
    </w:p>
    <w:p w14:paraId="6703105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（三）项目组织机构：</w:t>
      </w:r>
      <w:r>
        <w:rPr>
          <w:rFonts w:hint="eastAsia" w:ascii="宋体" w:hAnsi="宋体" w:cs="宋体"/>
          <w:spacing w:val="-7"/>
          <w:sz w:val="24"/>
          <w:szCs w:val="24"/>
          <w:highlight w:val="none"/>
          <w:lang w:val="en-US" w:eastAsia="zh-CN"/>
        </w:rPr>
        <w:t>18</w:t>
      </w:r>
      <w:r>
        <w:rPr>
          <w:rFonts w:hint="eastAsia" w:ascii="宋体" w:hAnsi="宋体" w:eastAsia="宋体" w:cs="宋体"/>
          <w:spacing w:val="-7"/>
          <w:sz w:val="24"/>
          <w:szCs w:val="24"/>
          <w:highlight w:val="none"/>
        </w:rPr>
        <w:t>分</w:t>
      </w:r>
    </w:p>
    <w:p w14:paraId="7B9600E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（四）业绩：3分</w:t>
      </w:r>
    </w:p>
    <w:p w14:paraId="3C3CEA0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三、分项评分标准：</w:t>
      </w:r>
    </w:p>
    <w:p w14:paraId="07EA1982">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（一）全过程工程咨询服务实施方案（6分）</w:t>
      </w:r>
    </w:p>
    <w:p w14:paraId="3AE14E58">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1、全过程工程咨询服务总纲评价（2分）</w:t>
      </w:r>
    </w:p>
    <w:p w14:paraId="70874FB2">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全过程工程咨询服务总纲内容齐全、结构完整、重点突出、符合规范，针对性强。（优：1.81-2分，良：1.61-1.8分， 一般：1.4-1.6 分，无内容0分）</w:t>
      </w:r>
    </w:p>
    <w:p w14:paraId="120955AE">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2、工程造价咨询服务方案（2分）</w:t>
      </w:r>
    </w:p>
    <w:p w14:paraId="0B28AAFD">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根据本项目特点，撰写工程造价咨询实施方案，投标单位内控制度等：</w:t>
      </w:r>
    </w:p>
    <w:p w14:paraId="323456EC">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①工程造价咨询实施方案：提供针对审计服务实施工作时间、计量计价措施的全面性、合理性、针对性、规范性强、内容较契合需求、详实全面的。</w:t>
      </w:r>
    </w:p>
    <w:p w14:paraId="1CF75941">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②投标单位内控制度：提供投标单位内控制度，内容健全、能有效落实并能合理且有针对性的举例说明。</w:t>
      </w:r>
    </w:p>
    <w:p w14:paraId="5827CAF5">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③配备的仪器设备及相关技术手段：根据投标单位配备的仪器设备及相关技术手段，能完全满足项目需要的。</w:t>
      </w:r>
    </w:p>
    <w:p w14:paraId="09A209A0">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（优：1.81-2分，良：1.61-1.8分， 一般：1.4-1.6 分，无内容 0 分）</w:t>
      </w:r>
    </w:p>
    <w:p w14:paraId="2857F2D4">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3、监理方案（2分）</w:t>
      </w:r>
    </w:p>
    <w:p w14:paraId="510B6F3A">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①质量控制方案；1.0分</w:t>
      </w:r>
    </w:p>
    <w:p w14:paraId="3EB6F776">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（优：0.91-1.0分，良：0.81-0.9分， 一般：0.7-0.8 分，无内容 0 分）</w:t>
      </w:r>
    </w:p>
    <w:p w14:paraId="0C403938">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②进度控制方案；0.5分</w:t>
      </w:r>
    </w:p>
    <w:p w14:paraId="16DFDA89">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（优：0.46-0.5 分，良：0.41-0.45分， 一般：0.35-0.4 分，无内容 0 分）</w:t>
      </w:r>
    </w:p>
    <w:p w14:paraId="24CF6E4C">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③安全控制方案；0.5分</w:t>
      </w:r>
    </w:p>
    <w:p w14:paraId="412E4D2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cs="宋体"/>
          <w:spacing w:val="-7"/>
          <w:sz w:val="24"/>
          <w:szCs w:val="24"/>
          <w:highlight w:val="none"/>
        </w:rPr>
        <w:t>（优：0.46-0.5 分，良：0.41-0.45分， 一般：0.35-0.4 分，无内容 0 分）</w:t>
      </w:r>
    </w:p>
    <w:p w14:paraId="2533A0C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备注：</w:t>
      </w:r>
    </w:p>
    <w:p w14:paraId="48ACF8A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技术标（全过程工程咨询服务实施方案）采用暗标评审。技术标（全过程工程咨询服务实施方案）中不得出现投标人名称、人员姓名，不得出现能显示企业特征或其它提示性的标记或标识。不符合本格式要求的作废标处理。</w:t>
      </w:r>
    </w:p>
    <w:p w14:paraId="2ECC9F4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2.除方案中缺少相应内容的评审要点不得分外，投标文件的方案各项评审要点得分不应低于该评审要点满分的70%。</w:t>
      </w:r>
    </w:p>
    <w:p w14:paraId="7B08050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3.技术标（全过程工程咨询服务实施方案）得分应当取所有技术标评委评分中分别去掉一个最高和一个最低评分后的平均值为最终得分，四舍五入保留两位小数。</w:t>
      </w:r>
    </w:p>
    <w:p w14:paraId="7DB5658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（二）投标报价（</w:t>
      </w:r>
      <w:r>
        <w:rPr>
          <w:rFonts w:hint="eastAsia" w:ascii="宋体" w:hAnsi="宋体" w:cs="宋体"/>
          <w:spacing w:val="-7"/>
          <w:sz w:val="24"/>
          <w:szCs w:val="24"/>
          <w:highlight w:val="none"/>
          <w:lang w:val="en-US" w:eastAsia="zh-CN"/>
        </w:rPr>
        <w:t>73</w:t>
      </w:r>
      <w:r>
        <w:rPr>
          <w:rFonts w:hint="eastAsia" w:ascii="宋体" w:hAnsi="宋体" w:eastAsia="宋体" w:cs="宋体"/>
          <w:spacing w:val="-7"/>
          <w:sz w:val="24"/>
          <w:szCs w:val="24"/>
          <w:highlight w:val="none"/>
        </w:rPr>
        <w:t>分）</w:t>
      </w:r>
    </w:p>
    <w:p w14:paraId="3306099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1、评标基准价计算方法：经初步评审合格的有效投标文件的评标价（按总价评审）低于所有有效投标文件的评标价平均值下浮3%（不含3%）的，不参与评标基准价的计算。</w:t>
      </w:r>
    </w:p>
    <w:p w14:paraId="09AA122A">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2、以其余有效投标文件的投标报价算术平均值为A（计算算术平均值A时，若7≤有效投标文件&lt;10 家时，应去掉其中的一个最高价和一个最低价；若有效投标文件≥10家，应去掉其中的二个最高价和二个最低价），最高投标限价为B,则: 评标基准价=A×Q1+B×Q2,Q2=1-Q1,Q1的取值范围为10%,15%,20%,25%,30%； Q1值在招标人（招标代理机构）完成评标准备工作，评标委员会完成初步评审后由招标人代表随机抽取确定。投标报价等于评标基准价的得满分；投标报价每高于或低于评标基准价1%扣0.1分，偏离不足1%的，用插入法计算，分值四舍五入保留两位小数。</w:t>
      </w:r>
    </w:p>
    <w:p w14:paraId="5C878CDA">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备注：</w:t>
      </w:r>
    </w:p>
    <w:p w14:paraId="57337ED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1、有效投标文件是指评标委员会初步评审合格的投标文件；评标价指经澄清、补正和修正算术错误的投标报价。</w:t>
      </w:r>
    </w:p>
    <w:p w14:paraId="6D96747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2、不参与评标基准价计算的有效投标文件均不影响其评标及推荐为中标候选人。</w:t>
      </w:r>
    </w:p>
    <w:p w14:paraId="3FFF026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350CD98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4、相关数值抽取后，在抽取现场确定评标基准价，评标基准价确定后不因招投标当事人质疑、投诉、复议以及其他任何情形而改变。(计算错误应作调整)。</w:t>
      </w:r>
    </w:p>
    <w:p w14:paraId="6E0D3B40">
      <w:pPr>
        <w:spacing w:line="360" w:lineRule="auto"/>
        <w:ind w:firstLine="452" w:firstLineChars="200"/>
        <w:jc w:val="left"/>
        <w:rPr>
          <w:rFonts w:hint="eastAsia" w:ascii="宋体" w:hAnsi="宋体" w:eastAsia="宋体" w:cs="宋体"/>
          <w:spacing w:val="-7"/>
          <w:sz w:val="24"/>
          <w:szCs w:val="24"/>
          <w:highlight w:val="none"/>
        </w:rPr>
      </w:pPr>
      <w:bookmarkStart w:id="44" w:name="_Hlk179794645"/>
      <w:r>
        <w:rPr>
          <w:rFonts w:hint="eastAsia" w:ascii="宋体" w:hAnsi="宋体" w:eastAsia="宋体" w:cs="宋体"/>
          <w:spacing w:val="-7"/>
          <w:sz w:val="24"/>
          <w:szCs w:val="24"/>
          <w:highlight w:val="none"/>
        </w:rPr>
        <w:t>（三）项目组织机构（</w:t>
      </w:r>
      <w:r>
        <w:rPr>
          <w:rFonts w:hint="eastAsia" w:ascii="宋体" w:hAnsi="宋体" w:eastAsia="宋体" w:cs="宋体"/>
          <w:spacing w:val="-7"/>
          <w:sz w:val="24"/>
          <w:szCs w:val="24"/>
          <w:highlight w:val="none"/>
          <w:lang w:val="en-US" w:eastAsia="zh-CN"/>
        </w:rPr>
        <w:t>18</w:t>
      </w:r>
      <w:r>
        <w:rPr>
          <w:rFonts w:hint="eastAsia" w:ascii="宋体" w:hAnsi="宋体" w:eastAsia="宋体" w:cs="宋体"/>
          <w:spacing w:val="-7"/>
          <w:sz w:val="24"/>
          <w:szCs w:val="24"/>
          <w:highlight w:val="none"/>
        </w:rPr>
        <w:t>分）</w:t>
      </w:r>
    </w:p>
    <w:p w14:paraId="2F736A90">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1、全过程工程咨询服务项目总负责人(2分)</w:t>
      </w:r>
    </w:p>
    <w:p w14:paraId="4487E1C0">
      <w:pPr>
        <w:spacing w:line="360" w:lineRule="auto"/>
        <w:ind w:firstLine="452" w:firstLineChars="200"/>
        <w:jc w:val="left"/>
        <w:rPr>
          <w:rFonts w:hint="eastAsia" w:ascii="宋体" w:hAnsi="宋体" w:eastAsia="宋体" w:cs="宋体"/>
          <w:spacing w:val="-7"/>
          <w:sz w:val="24"/>
          <w:szCs w:val="24"/>
          <w:highlight w:val="none"/>
          <w:lang w:val="en-US" w:eastAsia="zh-CN"/>
        </w:rPr>
      </w:pPr>
      <w:r>
        <w:rPr>
          <w:rFonts w:hint="eastAsia" w:ascii="宋体" w:hAnsi="宋体" w:eastAsia="宋体" w:cs="宋体"/>
          <w:spacing w:val="-7"/>
          <w:sz w:val="24"/>
          <w:szCs w:val="24"/>
          <w:highlight w:val="none"/>
          <w:lang w:val="en-US" w:eastAsia="zh-CN"/>
        </w:rPr>
        <w:t>具有注册安全工程师证的得1分，</w:t>
      </w:r>
      <w:r>
        <w:rPr>
          <w:rFonts w:hint="eastAsia" w:ascii="宋体" w:hAnsi="宋体" w:eastAsia="宋体" w:cs="宋体"/>
          <w:spacing w:val="-7"/>
          <w:sz w:val="24"/>
          <w:szCs w:val="24"/>
          <w:highlight w:val="none"/>
        </w:rPr>
        <w:t>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分（注：需提供相应有效期内注册证书或登记证书）</w:t>
      </w:r>
    </w:p>
    <w:p w14:paraId="1A20FD27">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2、各管理组负责人(</w:t>
      </w:r>
      <w:r>
        <w:rPr>
          <w:rFonts w:hint="eastAsia" w:ascii="宋体" w:hAnsi="宋体" w:eastAsia="宋体" w:cs="宋体"/>
          <w:spacing w:val="-7"/>
          <w:sz w:val="24"/>
          <w:szCs w:val="24"/>
          <w:highlight w:val="none"/>
          <w:lang w:val="en-US" w:eastAsia="zh-CN"/>
        </w:rPr>
        <w:t>8</w:t>
      </w:r>
      <w:r>
        <w:rPr>
          <w:rFonts w:hint="eastAsia" w:ascii="宋体" w:hAnsi="宋体" w:eastAsia="宋体" w:cs="宋体"/>
          <w:spacing w:val="-7"/>
          <w:sz w:val="24"/>
          <w:szCs w:val="24"/>
          <w:highlight w:val="none"/>
        </w:rPr>
        <w:t>分)</w:t>
      </w:r>
    </w:p>
    <w:p w14:paraId="405C28A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（1）监理负责人</w:t>
      </w:r>
    </w:p>
    <w:p w14:paraId="74C63AC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总监具有工程类高级及以上职称得1分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分。（注</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需提供职称证书）</w:t>
      </w:r>
    </w:p>
    <w:p w14:paraId="3A4C57A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（2）造价咨询负责人</w:t>
      </w:r>
    </w:p>
    <w:p w14:paraId="05D7D58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具有一级注册造价工程师证（水利工程）得1分；具有国家咨询工程师（投资）登记证书的得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分；具有</w:t>
      </w:r>
      <w:r>
        <w:rPr>
          <w:rFonts w:hint="eastAsia" w:ascii="宋体" w:hAnsi="宋体" w:eastAsia="宋体" w:cs="宋体"/>
          <w:spacing w:val="-7"/>
          <w:sz w:val="24"/>
          <w:szCs w:val="24"/>
          <w:highlight w:val="none"/>
          <w:lang w:val="en-US" w:eastAsia="zh-CN"/>
        </w:rPr>
        <w:t>工程类</w:t>
      </w:r>
      <w:r>
        <w:rPr>
          <w:rFonts w:hint="eastAsia" w:ascii="宋体" w:hAnsi="宋体" w:eastAsia="宋体" w:cs="宋体"/>
          <w:spacing w:val="-7"/>
          <w:sz w:val="24"/>
          <w:szCs w:val="24"/>
          <w:highlight w:val="none"/>
        </w:rPr>
        <w:t>高级及以上职称得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分；本项最多得</w:t>
      </w:r>
      <w:r>
        <w:rPr>
          <w:rFonts w:hint="eastAsia" w:ascii="宋体" w:hAnsi="宋体" w:eastAsia="宋体" w:cs="宋体"/>
          <w:spacing w:val="-7"/>
          <w:sz w:val="24"/>
          <w:szCs w:val="24"/>
          <w:highlight w:val="none"/>
          <w:lang w:val="en-US" w:eastAsia="zh-CN"/>
        </w:rPr>
        <w:t>3</w:t>
      </w:r>
      <w:r>
        <w:rPr>
          <w:rFonts w:hint="eastAsia" w:ascii="宋体" w:hAnsi="宋体" w:eastAsia="宋体" w:cs="宋体"/>
          <w:spacing w:val="-7"/>
          <w:sz w:val="24"/>
          <w:szCs w:val="24"/>
          <w:highlight w:val="none"/>
        </w:rPr>
        <w:t xml:space="preserve">分。 </w:t>
      </w:r>
      <w:bookmarkStart w:id="45" w:name="OLE_LINK2"/>
      <w:r>
        <w:rPr>
          <w:rFonts w:hint="eastAsia" w:ascii="宋体" w:hAnsi="宋体" w:eastAsia="宋体" w:cs="宋体"/>
          <w:spacing w:val="-7"/>
          <w:sz w:val="24"/>
          <w:szCs w:val="24"/>
          <w:highlight w:val="none"/>
        </w:rPr>
        <w:t>（注：需提供相应有效期内注册证书或职称证书或登记证书）</w:t>
      </w:r>
    </w:p>
    <w:bookmarkEnd w:id="45"/>
    <w:p w14:paraId="213FA35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（3）项目管理负责人</w:t>
      </w:r>
    </w:p>
    <w:p w14:paraId="41477DF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具有水利工程注册监理工程师的得1分；具有国家咨询工程师（投资）登记证书的得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val="en-US" w:eastAsia="zh-CN"/>
        </w:rPr>
        <w:t>具有注册安全工程师证的得1分，</w:t>
      </w:r>
      <w:r>
        <w:rPr>
          <w:rFonts w:hint="eastAsia" w:ascii="宋体" w:hAnsi="宋体" w:eastAsia="宋体" w:cs="宋体"/>
          <w:spacing w:val="-7"/>
          <w:sz w:val="24"/>
          <w:szCs w:val="24"/>
          <w:highlight w:val="none"/>
        </w:rPr>
        <w:t>具有工程类高级及以上</w:t>
      </w:r>
      <w:r>
        <w:rPr>
          <w:rFonts w:hint="eastAsia" w:ascii="宋体" w:hAnsi="宋体" w:cs="宋体"/>
          <w:spacing w:val="-7"/>
          <w:sz w:val="24"/>
          <w:szCs w:val="24"/>
          <w:highlight w:val="none"/>
          <w:lang w:val="en-US" w:eastAsia="zh-CN"/>
        </w:rPr>
        <w:t>职称</w:t>
      </w:r>
      <w:r>
        <w:rPr>
          <w:rFonts w:hint="eastAsia" w:ascii="宋体" w:hAnsi="宋体" w:eastAsia="宋体" w:cs="宋体"/>
          <w:spacing w:val="-7"/>
          <w:sz w:val="24"/>
          <w:szCs w:val="24"/>
          <w:highlight w:val="none"/>
        </w:rPr>
        <w:t>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4</w:t>
      </w:r>
      <w:r>
        <w:rPr>
          <w:rFonts w:hint="eastAsia" w:ascii="宋体" w:hAnsi="宋体" w:eastAsia="宋体" w:cs="宋体"/>
          <w:spacing w:val="-7"/>
          <w:sz w:val="24"/>
          <w:szCs w:val="24"/>
          <w:highlight w:val="none"/>
        </w:rPr>
        <w:t>分。（注：需提供相应有效期内注册证书或职称证书或登记证书）</w:t>
      </w:r>
    </w:p>
    <w:p w14:paraId="2989906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3、项目组其他人员（</w:t>
      </w:r>
      <w:r>
        <w:rPr>
          <w:rFonts w:hint="eastAsia" w:ascii="宋体" w:hAnsi="宋体" w:eastAsia="宋体" w:cs="宋体"/>
          <w:spacing w:val="-7"/>
          <w:sz w:val="24"/>
          <w:szCs w:val="24"/>
          <w:highlight w:val="none"/>
          <w:lang w:val="en-US" w:eastAsia="zh-CN"/>
        </w:rPr>
        <w:t>8</w:t>
      </w:r>
      <w:r>
        <w:rPr>
          <w:rFonts w:hint="eastAsia" w:ascii="宋体" w:hAnsi="宋体" w:eastAsia="宋体" w:cs="宋体"/>
          <w:spacing w:val="-7"/>
          <w:sz w:val="24"/>
          <w:szCs w:val="24"/>
          <w:highlight w:val="none"/>
        </w:rPr>
        <w:t>分）</w:t>
      </w:r>
    </w:p>
    <w:p w14:paraId="1F66A61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⑴承担监理服务其他人员（除项目总负责人及各管理组负责人以外配备</w:t>
      </w:r>
      <w:r>
        <w:rPr>
          <w:rFonts w:hint="eastAsia" w:ascii="宋体" w:hAnsi="宋体" w:eastAsia="宋体" w:cs="宋体"/>
          <w:spacing w:val="-7"/>
          <w:sz w:val="24"/>
          <w:szCs w:val="24"/>
          <w:highlight w:val="none"/>
          <w:lang w:val="en-US" w:eastAsia="zh-CN"/>
        </w:rPr>
        <w:t>3</w:t>
      </w:r>
      <w:r>
        <w:rPr>
          <w:rFonts w:hint="eastAsia" w:ascii="宋体" w:hAnsi="宋体" w:eastAsia="宋体" w:cs="宋体"/>
          <w:spacing w:val="-7"/>
          <w:sz w:val="24"/>
          <w:szCs w:val="24"/>
          <w:highlight w:val="none"/>
        </w:rPr>
        <w:t>名监理人员）（</w:t>
      </w:r>
      <w:r>
        <w:rPr>
          <w:rFonts w:hint="eastAsia" w:ascii="宋体" w:hAnsi="宋体" w:eastAsia="宋体" w:cs="宋体"/>
          <w:spacing w:val="-7"/>
          <w:sz w:val="24"/>
          <w:szCs w:val="24"/>
          <w:highlight w:val="none"/>
          <w:lang w:val="en-US" w:eastAsia="zh-CN"/>
        </w:rPr>
        <w:t>4</w:t>
      </w:r>
      <w:r>
        <w:rPr>
          <w:rFonts w:hint="eastAsia" w:ascii="宋体" w:hAnsi="宋体" w:eastAsia="宋体" w:cs="宋体"/>
          <w:spacing w:val="-7"/>
          <w:sz w:val="24"/>
          <w:szCs w:val="24"/>
          <w:highlight w:val="none"/>
        </w:rPr>
        <w:t>分）</w:t>
      </w:r>
    </w:p>
    <w:p w14:paraId="7F7DB17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）监理人员具有</w:t>
      </w:r>
      <w:bookmarkStart w:id="46" w:name="OLE_LINK4"/>
      <w:r>
        <w:rPr>
          <w:rFonts w:hint="eastAsia" w:ascii="宋体" w:hAnsi="宋体" w:eastAsia="宋体" w:cs="宋体"/>
          <w:spacing w:val="-7"/>
          <w:sz w:val="24"/>
          <w:szCs w:val="24"/>
          <w:highlight w:val="none"/>
        </w:rPr>
        <w:t>水利工程注册监理工程师（水利工程施工监理专业）</w:t>
      </w:r>
      <w:bookmarkEnd w:id="46"/>
      <w:r>
        <w:rPr>
          <w:rFonts w:hint="eastAsia" w:ascii="宋体" w:hAnsi="宋体" w:eastAsia="宋体" w:cs="宋体"/>
          <w:spacing w:val="-7"/>
          <w:sz w:val="24"/>
          <w:szCs w:val="24"/>
          <w:highlight w:val="none"/>
        </w:rPr>
        <w:t>的得1分，具有水利工程注册监理工程师（水土保持工程施工监理专业）的得1分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本项最多得2分。（注：需提供有效期内的相关证书）</w:t>
      </w:r>
    </w:p>
    <w:p w14:paraId="78888C86">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）监理人员具有水利工程注册监理工程师的得1分</w:t>
      </w:r>
      <w:r>
        <w:rPr>
          <w:rFonts w:hint="eastAsia" w:ascii="宋体" w:hAnsi="宋体" w:cs="宋体"/>
          <w:spacing w:val="-7"/>
          <w:sz w:val="24"/>
          <w:szCs w:val="24"/>
          <w:highlight w:val="none"/>
          <w:lang w:eastAsia="zh-CN"/>
        </w:rPr>
        <w:t>，</w:t>
      </w:r>
      <w:r>
        <w:rPr>
          <w:rFonts w:hint="eastAsia" w:ascii="宋体" w:hAnsi="宋体" w:eastAsia="宋体" w:cs="宋体"/>
          <w:spacing w:val="-7"/>
          <w:sz w:val="24"/>
          <w:szCs w:val="24"/>
          <w:highlight w:val="none"/>
          <w:lang w:val="en-US" w:eastAsia="zh-CN"/>
        </w:rPr>
        <w:t>所学专业为风景园林类的得1分，</w:t>
      </w:r>
      <w:r>
        <w:rPr>
          <w:rFonts w:hint="eastAsia" w:ascii="宋体" w:hAnsi="宋体" w:eastAsia="宋体" w:cs="宋体"/>
          <w:spacing w:val="-7"/>
          <w:sz w:val="24"/>
          <w:szCs w:val="24"/>
          <w:highlight w:val="none"/>
        </w:rPr>
        <w:t>本项最多得2分。（注：需提供有效期内的相关证书</w:t>
      </w:r>
      <w:r>
        <w:rPr>
          <w:rFonts w:hint="eastAsia" w:ascii="宋体" w:hAnsi="宋体" w:eastAsia="宋体" w:cs="宋体"/>
          <w:spacing w:val="-7"/>
          <w:sz w:val="24"/>
          <w:szCs w:val="24"/>
          <w:highlight w:val="none"/>
          <w:lang w:val="en-US" w:eastAsia="zh-CN"/>
        </w:rPr>
        <w:t>及毕业证书</w:t>
      </w:r>
      <w:r>
        <w:rPr>
          <w:rFonts w:hint="eastAsia" w:ascii="宋体" w:hAnsi="宋体" w:eastAsia="宋体" w:cs="宋体"/>
          <w:spacing w:val="-7"/>
          <w:sz w:val="24"/>
          <w:szCs w:val="24"/>
          <w:highlight w:val="none"/>
        </w:rPr>
        <w:t>）</w:t>
      </w:r>
    </w:p>
    <w:p w14:paraId="21767D6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⑵承担造价咨询服务其他人员（除项目总负责人及各管理组负责人以外配备</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名造价咨询人员）（</w:t>
      </w: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分）</w:t>
      </w:r>
    </w:p>
    <w:p w14:paraId="22B653D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cs="宋体"/>
          <w:spacing w:val="-7"/>
          <w:sz w:val="24"/>
          <w:szCs w:val="24"/>
          <w:highlight w:val="none"/>
          <w:lang w:val="en-US" w:eastAsia="zh-CN"/>
        </w:rPr>
        <w:t>1</w:t>
      </w:r>
      <w:r>
        <w:rPr>
          <w:rFonts w:hint="eastAsia" w:ascii="宋体" w:hAnsi="宋体" w:eastAsia="宋体" w:cs="宋体"/>
          <w:spacing w:val="-7"/>
          <w:sz w:val="24"/>
          <w:szCs w:val="24"/>
          <w:highlight w:val="none"/>
        </w:rPr>
        <w:t>）配备</w:t>
      </w:r>
      <w:r>
        <w:rPr>
          <w:rFonts w:hint="eastAsia" w:ascii="宋体" w:hAnsi="宋体" w:cs="宋体"/>
          <w:spacing w:val="-7"/>
          <w:sz w:val="24"/>
          <w:szCs w:val="24"/>
          <w:highlight w:val="none"/>
          <w:lang w:val="en-US" w:eastAsia="zh-CN"/>
        </w:rPr>
        <w:t>人员具有二级及以上</w:t>
      </w:r>
      <w:r>
        <w:rPr>
          <w:rFonts w:hint="eastAsia" w:ascii="宋体" w:hAnsi="宋体" w:eastAsia="宋体" w:cs="宋体"/>
          <w:spacing w:val="-7"/>
          <w:sz w:val="24"/>
          <w:szCs w:val="24"/>
          <w:highlight w:val="none"/>
        </w:rPr>
        <w:t>注册造价工程师证（</w:t>
      </w:r>
      <w:r>
        <w:rPr>
          <w:rFonts w:hint="eastAsia" w:ascii="宋体" w:hAnsi="宋体" w:cs="宋体"/>
          <w:spacing w:val="-7"/>
          <w:sz w:val="24"/>
          <w:szCs w:val="24"/>
          <w:highlight w:val="none"/>
          <w:lang w:val="en-US" w:eastAsia="zh-CN"/>
        </w:rPr>
        <w:t>水利</w:t>
      </w:r>
      <w:r>
        <w:rPr>
          <w:rFonts w:hint="eastAsia" w:ascii="宋体" w:hAnsi="宋体" w:eastAsia="宋体" w:cs="宋体"/>
          <w:spacing w:val="-7"/>
          <w:sz w:val="24"/>
          <w:szCs w:val="24"/>
          <w:highlight w:val="none"/>
        </w:rPr>
        <w:t>工程）</w:t>
      </w:r>
      <w:r>
        <w:rPr>
          <w:rFonts w:hint="eastAsia" w:ascii="宋体" w:hAnsi="宋体" w:cs="宋体"/>
          <w:spacing w:val="-7"/>
          <w:sz w:val="24"/>
          <w:szCs w:val="24"/>
          <w:highlight w:val="none"/>
          <w:lang w:val="en-US" w:eastAsia="zh-CN"/>
        </w:rPr>
        <w:t>的</w:t>
      </w:r>
      <w:r>
        <w:rPr>
          <w:rFonts w:hint="eastAsia" w:ascii="宋体" w:hAnsi="宋体" w:eastAsia="宋体" w:cs="宋体"/>
          <w:spacing w:val="-7"/>
          <w:sz w:val="24"/>
          <w:szCs w:val="24"/>
          <w:highlight w:val="none"/>
        </w:rPr>
        <w:t>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lang w:val="en-US" w:eastAsia="zh-CN"/>
        </w:rPr>
        <w:t>具备</w:t>
      </w:r>
      <w:r>
        <w:rPr>
          <w:rFonts w:hint="eastAsia" w:ascii="宋体" w:hAnsi="宋体" w:eastAsia="宋体" w:cs="宋体"/>
          <w:spacing w:val="-7"/>
          <w:sz w:val="24"/>
          <w:szCs w:val="24"/>
          <w:highlight w:val="none"/>
        </w:rPr>
        <w:t>水利工程注册监理工程师的得1分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分。（注：提供在有效期内的注册证书）</w:t>
      </w:r>
    </w:p>
    <w:p w14:paraId="007D856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（3）承担项目管理的人员（除项目总负责人及各管理组负责人以外配备1名项目管理人员）：（2分）</w:t>
      </w:r>
    </w:p>
    <w:p w14:paraId="46A4AE2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1）配备</w:t>
      </w:r>
      <w:r>
        <w:rPr>
          <w:rFonts w:hint="eastAsia" w:ascii="宋体" w:hAnsi="宋体" w:cs="宋体"/>
          <w:spacing w:val="-7"/>
          <w:sz w:val="24"/>
          <w:szCs w:val="24"/>
          <w:highlight w:val="none"/>
          <w:lang w:val="en-US" w:eastAsia="zh-CN"/>
        </w:rPr>
        <w:t>人员</w:t>
      </w:r>
      <w:r>
        <w:rPr>
          <w:rFonts w:hint="eastAsia" w:ascii="宋体" w:hAnsi="宋体" w:eastAsia="宋体" w:cs="宋体"/>
          <w:spacing w:val="-7"/>
          <w:sz w:val="24"/>
          <w:szCs w:val="24"/>
          <w:highlight w:val="none"/>
          <w:lang w:val="en-US" w:eastAsia="zh-CN"/>
        </w:rPr>
        <w:t>具备</w:t>
      </w:r>
      <w:r>
        <w:rPr>
          <w:rFonts w:hint="eastAsia" w:ascii="宋体" w:hAnsi="宋体" w:eastAsia="宋体" w:cs="宋体"/>
          <w:spacing w:val="-7"/>
          <w:sz w:val="24"/>
          <w:szCs w:val="24"/>
          <w:highlight w:val="none"/>
        </w:rPr>
        <w:t>水利工程注册监理工程师（水利工程施工监理专业）得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val="en-US" w:eastAsia="zh-CN"/>
        </w:rPr>
        <w:t>所学专业为安全工程类的得1分，</w:t>
      </w:r>
      <w:r>
        <w:rPr>
          <w:rFonts w:hint="eastAsia" w:ascii="宋体" w:hAnsi="宋体" w:eastAsia="宋体" w:cs="宋体"/>
          <w:spacing w:val="-7"/>
          <w:sz w:val="24"/>
          <w:szCs w:val="24"/>
          <w:highlight w:val="none"/>
        </w:rPr>
        <w:t>本项最多得2分。（注：提供在有效期内的注册证书</w:t>
      </w:r>
      <w:r>
        <w:rPr>
          <w:rFonts w:hint="eastAsia" w:ascii="宋体" w:hAnsi="宋体" w:eastAsia="宋体" w:cs="宋体"/>
          <w:spacing w:val="-7"/>
          <w:sz w:val="24"/>
          <w:szCs w:val="24"/>
          <w:highlight w:val="none"/>
          <w:lang w:val="en-US" w:eastAsia="zh-CN"/>
        </w:rPr>
        <w:t>及毕业证书</w:t>
      </w:r>
      <w:r>
        <w:rPr>
          <w:rFonts w:hint="eastAsia" w:ascii="宋体" w:hAnsi="宋体" w:eastAsia="宋体" w:cs="宋体"/>
          <w:spacing w:val="-7"/>
          <w:sz w:val="24"/>
          <w:szCs w:val="24"/>
          <w:highlight w:val="none"/>
        </w:rPr>
        <w:t>）</w:t>
      </w:r>
    </w:p>
    <w:p w14:paraId="14F5108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w:t>
      </w:r>
    </w:p>
    <w:p w14:paraId="39E3CD1D">
      <w:pPr>
        <w:spacing w:line="360" w:lineRule="auto"/>
        <w:ind w:firstLine="452" w:firstLineChars="200"/>
        <w:jc w:val="left"/>
        <w:rPr>
          <w:rFonts w:hint="eastAsia" w:ascii="宋体" w:hAnsi="宋体" w:eastAsia="宋体" w:cs="宋体"/>
          <w:spacing w:val="-7"/>
          <w:sz w:val="24"/>
          <w:szCs w:val="24"/>
          <w:highlight w:val="none"/>
          <w:lang w:eastAsia="zh-CN"/>
        </w:rPr>
      </w:pPr>
      <w:r>
        <w:rPr>
          <w:rFonts w:hint="eastAsia" w:ascii="宋体" w:hAnsi="宋体" w:eastAsia="宋体" w:cs="宋体"/>
          <w:spacing w:val="-7"/>
          <w:sz w:val="24"/>
          <w:szCs w:val="24"/>
          <w:highlight w:val="none"/>
        </w:rPr>
        <w:t>1、以上项目组织机构所有人员（除项目总负责人可兼任项目总监外）一人一岗，不得兼职，若为同一人或同一证，则只计取一次最高分，同时提供投标截止日期前近三个月投标单位为其办理的社保缴费清单（指</w:t>
      </w:r>
      <w:r>
        <w:rPr>
          <w:rFonts w:hint="eastAsia" w:ascii="宋体" w:hAnsi="宋体" w:cs="宋体"/>
          <w:spacing w:val="-7"/>
          <w:sz w:val="24"/>
          <w:szCs w:val="24"/>
          <w:highlight w:val="none"/>
          <w:lang w:eastAsia="zh-CN"/>
        </w:rPr>
        <w:t>2024年9月-2025年2月</w:t>
      </w:r>
      <w:r>
        <w:rPr>
          <w:rFonts w:hint="eastAsia" w:ascii="宋体" w:hAnsi="宋体" w:eastAsia="宋体" w:cs="宋体"/>
          <w:spacing w:val="-7"/>
          <w:sz w:val="24"/>
          <w:szCs w:val="24"/>
          <w:highlight w:val="none"/>
        </w:rPr>
        <w:t>任意连续三个月</w:t>
      </w:r>
      <w:r>
        <w:rPr>
          <w:rFonts w:hint="eastAsia" w:ascii="宋体" w:hAnsi="宋体" w:cs="宋体"/>
          <w:spacing w:val="-7"/>
          <w:sz w:val="24"/>
          <w:szCs w:val="24"/>
          <w:highlight w:val="none"/>
          <w:lang w:eastAsia="zh-CN"/>
        </w:rPr>
        <w:t>）。</w:t>
      </w:r>
    </w:p>
    <w:p w14:paraId="358650F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2、技术职称须提供职称证书，注册执业资格须提供有效期内的注册证或登记证书，且需注册在投标人企业，否则不得分。</w:t>
      </w:r>
    </w:p>
    <w:p w14:paraId="72ED8B5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3、涉及年限要求的，有效时间以相关证书发证、注册的落款日期开始至本项目开标之日起向前推算，一年按365天计。</w:t>
      </w:r>
    </w:p>
    <w:bookmarkEnd w:id="44"/>
    <w:p w14:paraId="0DADCEF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（四）业绩（3分）</w:t>
      </w:r>
    </w:p>
    <w:p w14:paraId="1226C67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1、投标人自2021年1月以来承担过水利工程类似业绩的有一个得3分，最多得3分。</w:t>
      </w:r>
    </w:p>
    <w:p w14:paraId="4529875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注：（1）类似业绩是指单项工程项目总投资概算在</w:t>
      </w:r>
      <w:r>
        <w:rPr>
          <w:rFonts w:hint="eastAsia" w:ascii="宋体" w:hAnsi="宋体" w:cs="宋体"/>
          <w:spacing w:val="-7"/>
          <w:sz w:val="24"/>
          <w:szCs w:val="24"/>
          <w:highlight w:val="none"/>
          <w:lang w:val="en-US" w:eastAsia="zh-CN"/>
        </w:rPr>
        <w:t>2500</w:t>
      </w:r>
      <w:r>
        <w:rPr>
          <w:rFonts w:hint="eastAsia" w:ascii="宋体" w:hAnsi="宋体" w:eastAsia="宋体" w:cs="宋体"/>
          <w:spacing w:val="-7"/>
          <w:sz w:val="24"/>
          <w:szCs w:val="24"/>
          <w:highlight w:val="none"/>
        </w:rPr>
        <w:t>万元及以上的水利工程全过程工程咨询业绩</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需提供中标通知书或成交通知书和</w:t>
      </w:r>
      <w:r>
        <w:rPr>
          <w:rFonts w:hint="eastAsia" w:ascii="宋体" w:hAnsi="宋体" w:eastAsia="宋体" w:cs="宋体"/>
          <w:spacing w:val="-7"/>
          <w:sz w:val="24"/>
          <w:szCs w:val="24"/>
          <w:highlight w:val="none"/>
          <w:lang w:val="en-US" w:eastAsia="zh-CN"/>
        </w:rPr>
        <w:t>全过程咨询</w:t>
      </w:r>
      <w:r>
        <w:rPr>
          <w:rFonts w:hint="eastAsia" w:ascii="宋体" w:hAnsi="宋体" w:eastAsia="宋体" w:cs="宋体"/>
          <w:spacing w:val="-7"/>
          <w:sz w:val="24"/>
          <w:szCs w:val="24"/>
          <w:highlight w:val="none"/>
        </w:rPr>
        <w:t>合同，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15FCAD6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全过程工程咨询服务是指：包括项目策划（前期咨询）、工程设计、招标代理、造价咨询、工程监理、项目管理这六项业务中的三项及以上，且至少包含工程设计、工程监理、造价咨询三项业务中的两项的服务。</w:t>
      </w:r>
    </w:p>
    <w:p w14:paraId="0CDA535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（3）若以上要求提供的证明材料不能体现评审要素的，应提供相关部门的证明材料，其有效性由评标委员会决定。如未提供或不能证明的，评标委员会将不予认可。</w:t>
      </w:r>
    </w:p>
    <w:p w14:paraId="0FE2239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注：评标办法中要求提供的相关评审材料须提供相关证明材料并应当在有效期内。</w:t>
      </w:r>
    </w:p>
    <w:p w14:paraId="69F30073">
      <w:pPr>
        <w:spacing w:line="360" w:lineRule="auto"/>
        <w:ind w:firstLine="452" w:firstLineChars="200"/>
        <w:jc w:val="left"/>
        <w:rPr>
          <w:rFonts w:hint="eastAsia" w:ascii="宋体" w:hAnsi="宋体" w:eastAsia="宋体" w:cs="宋体"/>
          <w:spacing w:val="-7"/>
          <w:sz w:val="24"/>
          <w:szCs w:val="24"/>
          <w:highlight w:val="none"/>
        </w:rPr>
      </w:pPr>
    </w:p>
    <w:p w14:paraId="05D53F3A">
      <w:pPr>
        <w:spacing w:line="400" w:lineRule="exact"/>
        <w:jc w:val="left"/>
        <w:rPr>
          <w:rFonts w:ascii="宋体" w:hAnsi="宋体" w:cs="宋体"/>
          <w:snapToGrid w:val="0"/>
          <w:kern w:val="0"/>
          <w:sz w:val="32"/>
          <w:highlight w:val="none"/>
        </w:rPr>
      </w:pPr>
    </w:p>
    <w:p w14:paraId="2B031807">
      <w:pPr>
        <w:rPr>
          <w:rFonts w:hint="eastAsia" w:ascii="宋体" w:hAnsi="宋体" w:cs="宋体"/>
          <w:snapToGrid w:val="0"/>
          <w:kern w:val="0"/>
          <w:sz w:val="32"/>
          <w:highlight w:val="none"/>
        </w:rPr>
      </w:pPr>
      <w:r>
        <w:rPr>
          <w:rFonts w:hint="eastAsia" w:ascii="宋体" w:hAnsi="宋体" w:cs="宋体"/>
          <w:snapToGrid w:val="0"/>
          <w:kern w:val="0"/>
          <w:sz w:val="32"/>
          <w:highlight w:val="none"/>
        </w:rPr>
        <w:br w:type="page"/>
      </w:r>
    </w:p>
    <w:p w14:paraId="6EE6630B">
      <w:pPr>
        <w:spacing w:line="360" w:lineRule="auto"/>
        <w:jc w:val="center"/>
        <w:outlineLvl w:val="0"/>
        <w:rPr>
          <w:rFonts w:hint="eastAsia" w:ascii="宋体" w:hAnsi="宋体" w:eastAsia="宋体" w:cs="宋体"/>
          <w:snapToGrid w:val="0"/>
          <w:kern w:val="0"/>
          <w:sz w:val="32"/>
          <w:highlight w:val="none"/>
        </w:rPr>
      </w:pPr>
      <w:r>
        <w:rPr>
          <w:rFonts w:hint="eastAsia" w:ascii="宋体" w:hAnsi="宋体" w:eastAsia="宋体" w:cs="宋体"/>
          <w:snapToGrid w:val="0"/>
          <w:kern w:val="0"/>
          <w:sz w:val="32"/>
          <w:highlight w:val="none"/>
        </w:rPr>
        <w:t>第二章  投标人须知</w:t>
      </w:r>
    </w:p>
    <w:p w14:paraId="1772A033">
      <w:pPr>
        <w:pStyle w:val="4"/>
        <w:keepNext w:val="0"/>
        <w:keepLines w:val="0"/>
        <w:spacing w:before="0" w:after="0" w:line="400" w:lineRule="exact"/>
        <w:jc w:val="center"/>
        <w:rPr>
          <w:rFonts w:hint="eastAsia" w:ascii="宋体" w:hAnsi="宋体" w:cs="宋体"/>
          <w:b w:val="0"/>
          <w:snapToGrid w:val="0"/>
          <w:sz w:val="28"/>
          <w:szCs w:val="28"/>
          <w:highlight w:val="none"/>
        </w:rPr>
      </w:pPr>
      <w:bookmarkStart w:id="47" w:name="_Toc10825"/>
      <w:bookmarkStart w:id="48" w:name="_Toc93403948"/>
      <w:bookmarkStart w:id="49" w:name="_Toc30646"/>
      <w:r>
        <w:rPr>
          <w:rFonts w:hint="eastAsia" w:ascii="宋体" w:hAnsi="宋体" w:cs="宋体"/>
          <w:b w:val="0"/>
          <w:snapToGrid w:val="0"/>
          <w:sz w:val="28"/>
          <w:szCs w:val="28"/>
          <w:highlight w:val="none"/>
        </w:rPr>
        <w:t>投标人须知前附表</w:t>
      </w:r>
      <w:bookmarkEnd w:id="47"/>
      <w:bookmarkEnd w:id="48"/>
      <w:bookmarkEnd w:id="49"/>
    </w:p>
    <w:tbl>
      <w:tblPr>
        <w:tblStyle w:val="34"/>
        <w:tblpPr w:topFromText="180" w:bottomFromText="180" w:vertAnchor="text" w:horzAnchor="margin" w:tblpX="1" w:tblpY="595"/>
        <w:tblOverlap w:val="never"/>
        <w:tblW w:w="9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98"/>
        <w:gridCol w:w="7186"/>
      </w:tblGrid>
      <w:tr w14:paraId="76742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3787A1A">
            <w:pPr>
              <w:spacing w:line="240" w:lineRule="auto"/>
              <w:jc w:val="center"/>
              <w:rPr>
                <w:rFonts w:hint="eastAsia" w:ascii="宋体" w:hAnsi="宋体" w:cs="宋体"/>
                <w:b/>
                <w:bCs/>
                <w:snapToGrid w:val="0"/>
                <w:kern w:val="0"/>
                <w:sz w:val="21"/>
                <w:szCs w:val="21"/>
                <w:highlight w:val="none"/>
              </w:rPr>
            </w:pPr>
            <w:bookmarkStart w:id="50" w:name="第二章_投标人须知"/>
            <w:r>
              <w:rPr>
                <w:rFonts w:hint="eastAsia" w:ascii="宋体" w:hAnsi="宋体" w:cs="宋体"/>
                <w:b/>
                <w:bCs/>
                <w:snapToGrid w:val="0"/>
                <w:kern w:val="0"/>
                <w:sz w:val="21"/>
                <w:szCs w:val="21"/>
                <w:highlight w:val="none"/>
              </w:rPr>
              <w:t>条款号</w:t>
            </w:r>
          </w:p>
        </w:tc>
        <w:tc>
          <w:tcPr>
            <w:tcW w:w="1498" w:type="dxa"/>
          </w:tcPr>
          <w:p w14:paraId="5FF10C6A">
            <w:pPr>
              <w:spacing w:line="240" w:lineRule="auto"/>
              <w:jc w:val="center"/>
              <w:rPr>
                <w:rFonts w:hint="eastAsia" w:ascii="宋体" w:hAnsi="宋体" w:cs="宋体"/>
                <w:b/>
                <w:bCs/>
                <w:snapToGrid w:val="0"/>
                <w:kern w:val="0"/>
                <w:sz w:val="21"/>
                <w:szCs w:val="21"/>
                <w:highlight w:val="none"/>
              </w:rPr>
            </w:pPr>
            <w:r>
              <w:rPr>
                <w:rFonts w:hint="eastAsia" w:ascii="宋体" w:hAnsi="宋体" w:cs="宋体"/>
                <w:b/>
                <w:bCs/>
                <w:snapToGrid w:val="0"/>
                <w:kern w:val="0"/>
                <w:sz w:val="21"/>
                <w:szCs w:val="21"/>
                <w:highlight w:val="none"/>
              </w:rPr>
              <w:t>条款 名 称</w:t>
            </w:r>
          </w:p>
        </w:tc>
        <w:tc>
          <w:tcPr>
            <w:tcW w:w="7186" w:type="dxa"/>
          </w:tcPr>
          <w:p w14:paraId="3D761799">
            <w:pPr>
              <w:spacing w:line="240" w:lineRule="auto"/>
              <w:jc w:val="center"/>
              <w:rPr>
                <w:rFonts w:hint="eastAsia" w:ascii="宋体" w:hAnsi="宋体" w:cs="宋体"/>
                <w:b/>
                <w:bCs/>
                <w:snapToGrid w:val="0"/>
                <w:kern w:val="0"/>
                <w:sz w:val="21"/>
                <w:szCs w:val="21"/>
                <w:highlight w:val="none"/>
              </w:rPr>
            </w:pPr>
            <w:r>
              <w:rPr>
                <w:rFonts w:hint="eastAsia" w:ascii="宋体" w:hAnsi="宋体" w:cs="宋体"/>
                <w:b/>
                <w:bCs/>
                <w:snapToGrid w:val="0"/>
                <w:kern w:val="0"/>
                <w:sz w:val="21"/>
                <w:szCs w:val="21"/>
                <w:highlight w:val="none"/>
              </w:rPr>
              <w:t>编 列 内 容</w:t>
            </w:r>
          </w:p>
        </w:tc>
      </w:tr>
      <w:tr w14:paraId="4C91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02E3CD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1.1.2</w:t>
            </w:r>
          </w:p>
        </w:tc>
        <w:tc>
          <w:tcPr>
            <w:tcW w:w="1498" w:type="dxa"/>
            <w:vAlign w:val="center"/>
          </w:tcPr>
          <w:p w14:paraId="68E11B6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招标人</w:t>
            </w:r>
          </w:p>
        </w:tc>
        <w:tc>
          <w:tcPr>
            <w:tcW w:w="7186" w:type="dxa"/>
            <w:vAlign w:val="center"/>
          </w:tcPr>
          <w:p w14:paraId="1EE4748B">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名称：宜兴市环保集团有限公司</w:t>
            </w:r>
          </w:p>
          <w:p w14:paraId="3D57A83A">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地址：宜兴市</w:t>
            </w:r>
          </w:p>
          <w:p w14:paraId="66DD8798">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联系人：刘先生</w:t>
            </w:r>
          </w:p>
          <w:p w14:paraId="5BA7B9D8">
            <w:pPr>
              <w:spacing w:line="240" w:lineRule="auto"/>
              <w:jc w:val="both"/>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电话：0510-80718885</w:t>
            </w:r>
          </w:p>
        </w:tc>
      </w:tr>
      <w:tr w14:paraId="2849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034ED38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1.1.3</w:t>
            </w:r>
          </w:p>
        </w:tc>
        <w:tc>
          <w:tcPr>
            <w:tcW w:w="1498" w:type="dxa"/>
            <w:vAlign w:val="center"/>
          </w:tcPr>
          <w:p w14:paraId="0215F535">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招标代理机构</w:t>
            </w:r>
          </w:p>
        </w:tc>
        <w:tc>
          <w:tcPr>
            <w:tcW w:w="7186" w:type="dxa"/>
            <w:vAlign w:val="center"/>
          </w:tcPr>
          <w:p w14:paraId="1F6C9BD8">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名称：江苏鸿成工程项目管理有限公司</w:t>
            </w:r>
          </w:p>
          <w:p w14:paraId="24A370AD">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地址：宜兴市杏园路108号5号楼</w:t>
            </w:r>
          </w:p>
          <w:p w14:paraId="2D266C6C">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w:t>
            </w:r>
            <w:r>
              <w:rPr>
                <w:rFonts w:hint="eastAsia" w:ascii="宋体" w:hAnsi="宋体" w:cs="宋体"/>
                <w:snapToGrid w:val="0"/>
                <w:kern w:val="0"/>
                <w:szCs w:val="21"/>
                <w:highlight w:val="none"/>
                <w:lang w:val="en-US" w:eastAsia="zh-CN"/>
              </w:rPr>
              <w:t>刘</w:t>
            </w:r>
            <w:r>
              <w:rPr>
                <w:rFonts w:hint="eastAsia" w:ascii="宋体" w:hAnsi="宋体" w:cs="宋体"/>
                <w:snapToGrid w:val="0"/>
                <w:kern w:val="0"/>
                <w:szCs w:val="21"/>
                <w:highlight w:val="none"/>
              </w:rPr>
              <w:t>先生</w:t>
            </w:r>
          </w:p>
          <w:p w14:paraId="361A4154">
            <w:pPr>
              <w:spacing w:line="240" w:lineRule="auto"/>
              <w:jc w:val="both"/>
              <w:rPr>
                <w:rFonts w:hint="default" w:ascii="宋体" w:hAnsi="宋体" w:eastAsia="宋体" w:cs="宋体"/>
                <w:snapToGrid w:val="0"/>
                <w:kern w:val="0"/>
                <w:szCs w:val="21"/>
                <w:highlight w:val="none"/>
                <w:lang w:val="en-US" w:eastAsia="zh-CN"/>
              </w:rPr>
            </w:pPr>
            <w:r>
              <w:rPr>
                <w:rFonts w:hint="eastAsia" w:ascii="宋体" w:hAnsi="宋体" w:cs="宋体"/>
                <w:snapToGrid w:val="0"/>
                <w:kern w:val="0"/>
                <w:szCs w:val="21"/>
                <w:highlight w:val="none"/>
              </w:rPr>
              <w:t>电话：</w:t>
            </w:r>
            <w:r>
              <w:rPr>
                <w:rFonts w:hint="eastAsia" w:ascii="宋体" w:hAnsi="宋体" w:cs="宋体"/>
                <w:snapToGrid w:val="0"/>
                <w:kern w:val="0"/>
                <w:szCs w:val="21"/>
                <w:highlight w:val="none"/>
                <w:lang w:val="en-US" w:eastAsia="zh-CN"/>
              </w:rPr>
              <w:t>18861558989</w:t>
            </w:r>
          </w:p>
        </w:tc>
      </w:tr>
      <w:tr w14:paraId="6058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13E0214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1.1.4</w:t>
            </w:r>
          </w:p>
        </w:tc>
        <w:tc>
          <w:tcPr>
            <w:tcW w:w="1498" w:type="dxa"/>
            <w:vAlign w:val="center"/>
          </w:tcPr>
          <w:p w14:paraId="1868C2D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项目名称</w:t>
            </w:r>
          </w:p>
        </w:tc>
        <w:tc>
          <w:tcPr>
            <w:tcW w:w="7186" w:type="dxa"/>
            <w:vAlign w:val="center"/>
          </w:tcPr>
          <w:p w14:paraId="060747C3">
            <w:pPr>
              <w:spacing w:line="240" w:lineRule="auto"/>
              <w:jc w:val="both"/>
              <w:rPr>
                <w:rFonts w:hint="eastAsia" w:ascii="宋体" w:hAnsi="宋体" w:eastAsia="宋体" w:cs="宋体"/>
                <w:sz w:val="28"/>
                <w:szCs w:val="28"/>
                <w:highlight w:val="none"/>
                <w:u w:val="single"/>
                <w:lang w:eastAsia="zh-CN"/>
              </w:rPr>
            </w:pPr>
            <w:r>
              <w:rPr>
                <w:rFonts w:hint="eastAsia" w:ascii="宋体" w:hAnsi="宋体" w:cs="宋体"/>
                <w:snapToGrid w:val="0"/>
                <w:kern w:val="0"/>
                <w:szCs w:val="21"/>
                <w:highlight w:val="none"/>
                <w:lang w:eastAsia="zh-CN"/>
              </w:rPr>
              <w:t>宜兴市东氿水下森林项目工程全过程工程咨询服务</w:t>
            </w:r>
          </w:p>
        </w:tc>
      </w:tr>
      <w:tr w14:paraId="6D3B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959" w:type="dxa"/>
            <w:vAlign w:val="center"/>
          </w:tcPr>
          <w:p w14:paraId="4954AF6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1.1.5</w:t>
            </w:r>
          </w:p>
        </w:tc>
        <w:tc>
          <w:tcPr>
            <w:tcW w:w="1498" w:type="dxa"/>
            <w:vAlign w:val="center"/>
          </w:tcPr>
          <w:p w14:paraId="50D8EECF">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项目概况</w:t>
            </w:r>
          </w:p>
        </w:tc>
        <w:tc>
          <w:tcPr>
            <w:tcW w:w="7186" w:type="dxa"/>
            <w:vAlign w:val="center"/>
          </w:tcPr>
          <w:p w14:paraId="2D4E5B7C">
            <w:pPr>
              <w:spacing w:line="240" w:lineRule="auto"/>
              <w:jc w:val="both"/>
              <w:rPr>
                <w:rFonts w:hint="eastAsia" w:ascii="宋体" w:hAnsi="宋体"/>
                <w:snapToGrid w:val="0"/>
                <w:kern w:val="0"/>
                <w:szCs w:val="21"/>
                <w:highlight w:val="none"/>
              </w:rPr>
            </w:pPr>
            <w:r>
              <w:rPr>
                <w:rFonts w:hint="eastAsia" w:ascii="宋体" w:hAnsi="宋体"/>
                <w:snapToGrid w:val="0"/>
                <w:kern w:val="0"/>
                <w:szCs w:val="21"/>
                <w:highlight w:val="none"/>
              </w:rPr>
              <w:t>1、项目概况：</w:t>
            </w:r>
            <w:r>
              <w:rPr>
                <w:rFonts w:hint="eastAsia" w:ascii="宋体" w:hAnsi="宋体"/>
                <w:snapToGrid w:val="0"/>
                <w:kern w:val="0"/>
                <w:szCs w:val="21"/>
                <w:highlight w:val="non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3218672F">
            <w:pPr>
              <w:spacing w:line="240" w:lineRule="auto"/>
              <w:jc w:val="both"/>
              <w:rPr>
                <w:rFonts w:hint="eastAsia" w:ascii="宋体" w:hAnsi="宋体" w:cs="宋体"/>
                <w:snapToGrid w:val="0"/>
                <w:kern w:val="0"/>
                <w:szCs w:val="21"/>
                <w:highlight w:val="none"/>
              </w:rPr>
            </w:pPr>
            <w:r>
              <w:rPr>
                <w:rFonts w:hint="eastAsia" w:ascii="宋体" w:hAnsi="宋体"/>
                <w:snapToGrid w:val="0"/>
                <w:kern w:val="0"/>
                <w:szCs w:val="21"/>
                <w:highlight w:val="none"/>
              </w:rPr>
              <w:t>2、服务内容：</w:t>
            </w:r>
            <w:r>
              <w:rPr>
                <w:rFonts w:hint="eastAsia" w:ascii="宋体" w:hAnsi="宋体" w:cs="宋体"/>
                <w:snapToGrid w:val="0"/>
                <w:kern w:val="0"/>
                <w:szCs w:val="21"/>
                <w:highlight w:val="none"/>
                <w:lang w:eastAsia="zh-CN"/>
              </w:rPr>
              <w:t>宜兴市东氿水下森林项目工程全过程工程咨询服务</w:t>
            </w:r>
            <w:r>
              <w:rPr>
                <w:rFonts w:hint="eastAsia" w:ascii="宋体" w:hAnsi="宋体"/>
                <w:snapToGrid w:val="0"/>
                <w:kern w:val="0"/>
                <w:szCs w:val="21"/>
                <w:highlight w:val="none"/>
              </w:rPr>
              <w:t>，内容包括全过程工程咨询服务，包括：工程造价咨询、监理、项目管理。</w:t>
            </w:r>
          </w:p>
        </w:tc>
      </w:tr>
      <w:tr w14:paraId="0A4C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vAlign w:val="center"/>
          </w:tcPr>
          <w:p w14:paraId="1605A63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1.2.1</w:t>
            </w:r>
          </w:p>
        </w:tc>
        <w:tc>
          <w:tcPr>
            <w:tcW w:w="1498" w:type="dxa"/>
            <w:vAlign w:val="center"/>
          </w:tcPr>
          <w:p w14:paraId="71C71BB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建设资金</w:t>
            </w:r>
          </w:p>
        </w:tc>
        <w:tc>
          <w:tcPr>
            <w:tcW w:w="7186" w:type="dxa"/>
            <w:vAlign w:val="center"/>
          </w:tcPr>
          <w:p w14:paraId="7E8040F4">
            <w:pPr>
              <w:spacing w:line="240" w:lineRule="auto"/>
              <w:jc w:val="both"/>
              <w:rPr>
                <w:rFonts w:ascii="宋体"/>
                <w:snapToGrid w:val="0"/>
                <w:kern w:val="0"/>
                <w:szCs w:val="21"/>
                <w:highlight w:val="none"/>
              </w:rPr>
            </w:pPr>
            <w:r>
              <w:rPr>
                <w:rFonts w:hint="eastAsia" w:ascii="宋体"/>
                <w:snapToGrid w:val="0"/>
                <w:kern w:val="0"/>
                <w:szCs w:val="21"/>
                <w:highlight w:val="none"/>
              </w:rPr>
              <w:t>项目投资估算额（概算）：约</w:t>
            </w:r>
            <w:r>
              <w:rPr>
                <w:rFonts w:hint="eastAsia" w:ascii="宋体"/>
                <w:snapToGrid w:val="0"/>
                <w:kern w:val="0"/>
                <w:szCs w:val="21"/>
                <w:highlight w:val="none"/>
                <w:lang w:val="en-US" w:eastAsia="zh-CN"/>
              </w:rPr>
              <w:t>3481.5</w:t>
            </w:r>
            <w:r>
              <w:rPr>
                <w:rFonts w:hint="eastAsia" w:ascii="宋体"/>
                <w:snapToGrid w:val="0"/>
                <w:kern w:val="0"/>
                <w:szCs w:val="21"/>
                <w:highlight w:val="none"/>
              </w:rPr>
              <w:t>万元</w:t>
            </w:r>
            <w:r>
              <w:rPr>
                <w:rFonts w:hint="eastAsia" w:ascii="宋体"/>
                <w:snapToGrid w:val="0"/>
                <w:kern w:val="0"/>
                <w:szCs w:val="21"/>
                <w:highlight w:val="none"/>
                <w:lang w:eastAsia="zh-CN"/>
              </w:rPr>
              <w:t>（</w:t>
            </w:r>
            <w:r>
              <w:rPr>
                <w:rFonts w:hint="eastAsia" w:ascii="宋体"/>
                <w:snapToGrid w:val="0"/>
                <w:kern w:val="0"/>
                <w:szCs w:val="21"/>
                <w:highlight w:val="none"/>
                <w:lang w:val="en-US" w:eastAsia="zh-CN"/>
              </w:rPr>
              <w:t>其中建安费约为3020.88万元</w:t>
            </w:r>
            <w:r>
              <w:rPr>
                <w:rFonts w:hint="eastAsia" w:ascii="宋体"/>
                <w:snapToGrid w:val="0"/>
                <w:kern w:val="0"/>
                <w:szCs w:val="21"/>
                <w:highlight w:val="none"/>
                <w:lang w:eastAsia="zh-CN"/>
              </w:rPr>
              <w:t>）</w:t>
            </w:r>
            <w:r>
              <w:rPr>
                <w:rFonts w:hint="eastAsia" w:ascii="宋体"/>
                <w:snapToGrid w:val="0"/>
                <w:kern w:val="0"/>
                <w:szCs w:val="21"/>
                <w:highlight w:val="none"/>
              </w:rPr>
              <w:t>。</w:t>
            </w:r>
          </w:p>
          <w:p w14:paraId="1948D770">
            <w:pPr>
              <w:spacing w:line="240" w:lineRule="auto"/>
              <w:jc w:val="both"/>
              <w:rPr>
                <w:rFonts w:ascii="宋体"/>
                <w:snapToGrid w:val="0"/>
                <w:kern w:val="0"/>
                <w:szCs w:val="21"/>
                <w:highlight w:val="none"/>
              </w:rPr>
            </w:pPr>
            <w:r>
              <w:rPr>
                <w:rFonts w:hint="eastAsia" w:ascii="宋体"/>
                <w:snapToGrid w:val="0"/>
                <w:kern w:val="0"/>
                <w:szCs w:val="21"/>
                <w:highlight w:val="none"/>
              </w:rPr>
              <w:t>咨询合同估算价：</w:t>
            </w:r>
            <w:r>
              <w:rPr>
                <w:rFonts w:hint="eastAsia" w:ascii="宋体"/>
                <w:snapToGrid w:val="0"/>
                <w:kern w:val="0"/>
                <w:szCs w:val="21"/>
                <w:highlight w:val="none"/>
                <w:lang w:val="en-US" w:eastAsia="zh-CN"/>
              </w:rPr>
              <w:t>49.58</w:t>
            </w:r>
            <w:r>
              <w:rPr>
                <w:rFonts w:hint="eastAsia" w:ascii="宋体"/>
                <w:snapToGrid w:val="0"/>
                <w:kern w:val="0"/>
                <w:szCs w:val="21"/>
                <w:highlight w:val="none"/>
              </w:rPr>
              <w:t>万元</w:t>
            </w:r>
          </w:p>
          <w:p w14:paraId="1A7DB4D6">
            <w:pPr>
              <w:spacing w:line="240" w:lineRule="auto"/>
              <w:jc w:val="both"/>
              <w:rPr>
                <w:rFonts w:ascii="宋体"/>
                <w:snapToGrid w:val="0"/>
                <w:kern w:val="0"/>
                <w:szCs w:val="21"/>
                <w:highlight w:val="none"/>
              </w:rPr>
            </w:pPr>
            <w:r>
              <w:rPr>
                <w:rFonts w:hint="eastAsia" w:ascii="宋体"/>
                <w:snapToGrid w:val="0"/>
                <w:kern w:val="0"/>
                <w:szCs w:val="21"/>
                <w:highlight w:val="none"/>
              </w:rPr>
              <w:t>资金来源: 自筹</w:t>
            </w:r>
          </w:p>
          <w:p w14:paraId="638F44B7">
            <w:pPr>
              <w:spacing w:line="240" w:lineRule="auto"/>
              <w:jc w:val="both"/>
              <w:rPr>
                <w:rFonts w:hint="eastAsia" w:ascii="宋体" w:hAnsi="宋体" w:cs="宋体"/>
                <w:snapToGrid w:val="0"/>
                <w:kern w:val="0"/>
                <w:szCs w:val="21"/>
                <w:highlight w:val="none"/>
              </w:rPr>
            </w:pPr>
            <w:r>
              <w:rPr>
                <w:rFonts w:hint="eastAsia" w:ascii="宋体"/>
                <w:snapToGrid w:val="0"/>
                <w:kern w:val="0"/>
                <w:szCs w:val="21"/>
                <w:highlight w:val="none"/>
              </w:rPr>
              <w:t>资金落实情况：已落实</w:t>
            </w:r>
          </w:p>
        </w:tc>
      </w:tr>
      <w:tr w14:paraId="31D42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22640FB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1.3.1</w:t>
            </w:r>
          </w:p>
        </w:tc>
        <w:tc>
          <w:tcPr>
            <w:tcW w:w="1498" w:type="dxa"/>
            <w:vAlign w:val="center"/>
          </w:tcPr>
          <w:p w14:paraId="73BBC41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招标范围</w:t>
            </w:r>
          </w:p>
        </w:tc>
        <w:tc>
          <w:tcPr>
            <w:tcW w:w="7186" w:type="dxa"/>
            <w:vAlign w:val="center"/>
          </w:tcPr>
          <w:p w14:paraId="055F3DD8">
            <w:pPr>
              <w:spacing w:line="240" w:lineRule="auto"/>
              <w:jc w:val="both"/>
              <w:rPr>
                <w:rFonts w:hint="eastAsia" w:ascii="宋体" w:hAnsi="宋体" w:cs="宋体"/>
                <w:szCs w:val="21"/>
                <w:highlight w:val="none"/>
              </w:rPr>
            </w:pPr>
            <w:r>
              <w:rPr>
                <w:rFonts w:hint="eastAsia" w:ascii="宋体" w:hAnsi="宋体" w:cs="宋体"/>
                <w:szCs w:val="21"/>
                <w:highlight w:val="none"/>
              </w:rPr>
              <w:t>见招标公告</w:t>
            </w:r>
          </w:p>
        </w:tc>
      </w:tr>
      <w:tr w14:paraId="1E98E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328C724">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1.3.2</w:t>
            </w:r>
          </w:p>
        </w:tc>
        <w:tc>
          <w:tcPr>
            <w:tcW w:w="1498" w:type="dxa"/>
            <w:vAlign w:val="center"/>
          </w:tcPr>
          <w:p w14:paraId="3E6C918F">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服务期限要求</w:t>
            </w:r>
          </w:p>
        </w:tc>
        <w:tc>
          <w:tcPr>
            <w:tcW w:w="7186" w:type="dxa"/>
            <w:vAlign w:val="center"/>
          </w:tcPr>
          <w:p w14:paraId="661900DA">
            <w:pPr>
              <w:adjustRightInd w:val="0"/>
              <w:snapToGrid w:val="0"/>
              <w:spacing w:line="240" w:lineRule="auto"/>
              <w:jc w:val="both"/>
              <w:rPr>
                <w:rFonts w:ascii="宋体"/>
                <w:snapToGrid w:val="0"/>
                <w:kern w:val="0"/>
                <w:highlight w:val="none"/>
              </w:rPr>
            </w:pPr>
            <w:r>
              <w:rPr>
                <w:rFonts w:hint="eastAsia" w:ascii="宋体"/>
                <w:snapToGrid w:val="0"/>
                <w:kern w:val="0"/>
                <w:highlight w:val="none"/>
              </w:rPr>
              <w:t>合同签订之日开始实施，至工程审计报告提交之日终结（最终按本项目实际实施时间为准。）</w:t>
            </w:r>
          </w:p>
          <w:p w14:paraId="6842863B">
            <w:pPr>
              <w:adjustRightInd w:val="0"/>
              <w:snapToGrid w:val="0"/>
              <w:spacing w:line="240" w:lineRule="auto"/>
              <w:jc w:val="both"/>
              <w:rPr>
                <w:rFonts w:ascii="宋体"/>
                <w:snapToGrid w:val="0"/>
                <w:kern w:val="0"/>
                <w:highlight w:val="none"/>
              </w:rPr>
            </w:pPr>
            <w:r>
              <w:rPr>
                <w:rFonts w:hint="eastAsia" w:ascii="宋体"/>
                <w:snapToGrid w:val="0"/>
                <w:kern w:val="0"/>
                <w:highlight w:val="none"/>
              </w:rPr>
              <w:t>（1）工程造价咨询：合同签订之日起至工程造价结算审计结束止；</w:t>
            </w:r>
          </w:p>
          <w:p w14:paraId="5B2479DF">
            <w:pPr>
              <w:adjustRightInd w:val="0"/>
              <w:snapToGrid w:val="0"/>
              <w:spacing w:line="240" w:lineRule="auto"/>
              <w:jc w:val="both"/>
              <w:rPr>
                <w:rFonts w:ascii="宋体"/>
                <w:snapToGrid w:val="0"/>
                <w:kern w:val="0"/>
                <w:highlight w:val="none"/>
              </w:rPr>
            </w:pPr>
            <w:r>
              <w:rPr>
                <w:rFonts w:hint="eastAsia" w:ascii="宋体"/>
                <w:snapToGrid w:val="0"/>
                <w:kern w:val="0"/>
                <w:highlight w:val="none"/>
              </w:rPr>
              <w:t>（2）监理期限：合同签订之日起至项目竣工验收止。</w:t>
            </w:r>
          </w:p>
          <w:p w14:paraId="21644431">
            <w:pPr>
              <w:adjustRightInd w:val="0"/>
              <w:snapToGrid w:val="0"/>
              <w:spacing w:line="240" w:lineRule="auto"/>
              <w:jc w:val="both"/>
              <w:rPr>
                <w:rFonts w:hint="eastAsia" w:ascii="宋体" w:hAnsi="宋体" w:cs="宋体"/>
                <w:snapToGrid w:val="0"/>
                <w:kern w:val="0"/>
                <w:highlight w:val="none"/>
              </w:rPr>
            </w:pPr>
            <w:r>
              <w:rPr>
                <w:rFonts w:hint="eastAsia" w:ascii="宋体"/>
                <w:snapToGrid w:val="0"/>
                <w:kern w:val="0"/>
                <w:highlight w:val="none"/>
              </w:rPr>
              <w:t>（3）项目管理服务期限：合同签订之日起至项目竣工验收止。</w:t>
            </w:r>
          </w:p>
        </w:tc>
      </w:tr>
      <w:tr w14:paraId="14ED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9D6FFF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1.3.3</w:t>
            </w:r>
          </w:p>
        </w:tc>
        <w:tc>
          <w:tcPr>
            <w:tcW w:w="1498" w:type="dxa"/>
            <w:vAlign w:val="center"/>
          </w:tcPr>
          <w:p w14:paraId="7825E8D6">
            <w:pPr>
              <w:spacing w:line="240" w:lineRule="auto"/>
              <w:jc w:val="left"/>
              <w:rPr>
                <w:rFonts w:hint="eastAsia" w:ascii="宋体" w:hAnsi="宋体" w:cs="宋体"/>
                <w:szCs w:val="21"/>
                <w:highlight w:val="none"/>
              </w:rPr>
            </w:pPr>
            <w:r>
              <w:rPr>
                <w:rFonts w:hint="eastAsia" w:ascii="宋体" w:hAnsi="宋体" w:cs="宋体"/>
                <w:szCs w:val="21"/>
                <w:highlight w:val="none"/>
              </w:rPr>
              <w:t>工作质量目标</w:t>
            </w:r>
          </w:p>
        </w:tc>
        <w:tc>
          <w:tcPr>
            <w:tcW w:w="7186" w:type="dxa"/>
            <w:vAlign w:val="center"/>
          </w:tcPr>
          <w:p w14:paraId="61625898">
            <w:pPr>
              <w:spacing w:line="240" w:lineRule="auto"/>
              <w:jc w:val="both"/>
              <w:rPr>
                <w:rFonts w:hint="eastAsia" w:ascii="宋体" w:hAnsi="宋体" w:cs="宋体"/>
                <w:szCs w:val="21"/>
                <w:highlight w:val="none"/>
                <w:u w:val="single"/>
              </w:rPr>
            </w:pPr>
            <w:r>
              <w:rPr>
                <w:rFonts w:hint="eastAsia" w:ascii="宋体" w:hAnsi="宋体" w:cs="宋体"/>
                <w:highlight w:val="none"/>
              </w:rPr>
              <w:t>符合相关规定</w:t>
            </w:r>
          </w:p>
        </w:tc>
      </w:tr>
      <w:tr w14:paraId="230A2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D1243B8">
            <w:pPr>
              <w:spacing w:line="240" w:lineRule="auto"/>
              <w:jc w:val="left"/>
              <w:rPr>
                <w:rFonts w:hint="eastAsia" w:ascii="宋体" w:hAnsi="宋体" w:cs="宋体"/>
                <w:snapToGrid w:val="0"/>
                <w:kern w:val="0"/>
                <w:szCs w:val="21"/>
                <w:highlight w:val="none"/>
              </w:rPr>
            </w:pPr>
            <w:bookmarkStart w:id="51" w:name="第二章_投标人资质条件"/>
            <w:bookmarkStart w:id="52" w:name="资格后审1"/>
            <w:r>
              <w:rPr>
                <w:rFonts w:hint="eastAsia" w:ascii="宋体" w:hAnsi="宋体" w:cs="宋体"/>
                <w:snapToGrid w:val="0"/>
                <w:kern w:val="0"/>
                <w:szCs w:val="21"/>
                <w:highlight w:val="none"/>
              </w:rPr>
              <w:t>1.4.1</w:t>
            </w:r>
          </w:p>
        </w:tc>
        <w:tc>
          <w:tcPr>
            <w:tcW w:w="1498" w:type="dxa"/>
          </w:tcPr>
          <w:p w14:paraId="40BCD39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投标人资质条件、能力和信誉</w:t>
            </w:r>
          </w:p>
        </w:tc>
        <w:tc>
          <w:tcPr>
            <w:tcW w:w="7186" w:type="dxa"/>
            <w:vAlign w:val="center"/>
          </w:tcPr>
          <w:p w14:paraId="270D46E8">
            <w:pPr>
              <w:adjustRightInd w:val="0"/>
              <w:snapToGrid w:val="0"/>
              <w:spacing w:line="240" w:lineRule="auto"/>
              <w:jc w:val="both"/>
              <w:rPr>
                <w:rFonts w:hint="eastAsia" w:ascii="宋体" w:hAnsi="宋体" w:cs="宋体"/>
                <w:highlight w:val="none"/>
              </w:rPr>
            </w:pPr>
            <w:r>
              <w:rPr>
                <w:rFonts w:hint="eastAsia" w:ascii="宋体" w:hAnsi="宋体" w:cs="宋体"/>
                <w:highlight w:val="none"/>
              </w:rPr>
              <w:t>1、投标人资格条件：见招标公告</w:t>
            </w:r>
          </w:p>
          <w:p w14:paraId="4365F4F8">
            <w:pPr>
              <w:adjustRightInd w:val="0"/>
              <w:snapToGrid w:val="0"/>
              <w:spacing w:line="240" w:lineRule="auto"/>
              <w:jc w:val="both"/>
              <w:rPr>
                <w:rFonts w:hint="eastAsia" w:ascii="宋体" w:hAnsi="宋体" w:cs="宋体"/>
                <w:highlight w:val="none"/>
                <w:u w:val="single"/>
              </w:rPr>
            </w:pPr>
            <w:r>
              <w:rPr>
                <w:rFonts w:hint="eastAsia" w:ascii="宋体" w:hAnsi="宋体" w:cs="宋体"/>
                <w:highlight w:val="none"/>
              </w:rPr>
              <w:t>2、投标人拟派项目总负责人须具备：见招标公告</w:t>
            </w:r>
          </w:p>
          <w:p w14:paraId="39739AE5">
            <w:pPr>
              <w:tabs>
                <w:tab w:val="left" w:pos="312"/>
              </w:tabs>
              <w:adjustRightInd w:val="0"/>
              <w:snapToGrid w:val="0"/>
              <w:spacing w:line="240" w:lineRule="auto"/>
              <w:jc w:val="both"/>
              <w:rPr>
                <w:rFonts w:hint="eastAsia" w:ascii="宋体" w:hAnsi="宋体" w:eastAsia="宋体" w:cs="宋体"/>
                <w:szCs w:val="22"/>
                <w:highlight w:val="none"/>
                <w:lang w:val="en-US" w:eastAsia="zh-CN"/>
              </w:rPr>
            </w:pPr>
            <w:r>
              <w:rPr>
                <w:rFonts w:hint="eastAsia" w:ascii="宋体" w:hAnsi="宋体" w:cs="宋体"/>
                <w:szCs w:val="22"/>
                <w:highlight w:val="none"/>
              </w:rPr>
              <w:t>其他：</w:t>
            </w:r>
            <w:r>
              <w:rPr>
                <w:rFonts w:hint="eastAsia" w:ascii="宋体" w:hAnsi="宋体" w:cs="宋体"/>
                <w:szCs w:val="22"/>
                <w:highlight w:val="none"/>
                <w:lang w:val="en-US" w:eastAsia="zh-CN"/>
              </w:rPr>
              <w:t>/</w:t>
            </w:r>
          </w:p>
        </w:tc>
      </w:tr>
      <w:bookmarkEnd w:id="51"/>
      <w:bookmarkEnd w:id="52"/>
      <w:tr w14:paraId="1AB27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959" w:type="dxa"/>
            <w:vAlign w:val="center"/>
          </w:tcPr>
          <w:p w14:paraId="5713E18D">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1.4.2</w:t>
            </w:r>
          </w:p>
        </w:tc>
        <w:tc>
          <w:tcPr>
            <w:tcW w:w="1498" w:type="dxa"/>
            <w:vAlign w:val="center"/>
          </w:tcPr>
          <w:p w14:paraId="30C0B7FD">
            <w:pPr>
              <w:adjustRightInd w:val="0"/>
              <w:snapToGrid w:val="0"/>
              <w:spacing w:line="240" w:lineRule="auto"/>
              <w:jc w:val="left"/>
              <w:rPr>
                <w:rFonts w:hint="eastAsia" w:ascii="宋体" w:hAnsi="宋体" w:cs="宋体"/>
                <w:szCs w:val="22"/>
                <w:highlight w:val="none"/>
              </w:rPr>
            </w:pPr>
            <w:r>
              <w:rPr>
                <w:rFonts w:hint="eastAsia" w:ascii="宋体" w:hAnsi="宋体" w:cs="宋体"/>
                <w:szCs w:val="22"/>
                <w:highlight w:val="none"/>
              </w:rPr>
              <w:t>联合体投标</w:t>
            </w:r>
          </w:p>
        </w:tc>
        <w:tc>
          <w:tcPr>
            <w:tcW w:w="7186" w:type="dxa"/>
            <w:vAlign w:val="center"/>
          </w:tcPr>
          <w:p w14:paraId="6C5F2F9C">
            <w:pPr>
              <w:tabs>
                <w:tab w:val="left" w:pos="312"/>
              </w:tabs>
              <w:adjustRightInd w:val="0"/>
              <w:snapToGrid w:val="0"/>
              <w:spacing w:line="240" w:lineRule="auto"/>
              <w:jc w:val="left"/>
              <w:rPr>
                <w:rFonts w:hint="eastAsia" w:ascii="宋体" w:hAnsi="宋体" w:cs="宋体"/>
                <w:szCs w:val="22"/>
                <w:highlight w:val="none"/>
                <w:u w:val="single"/>
              </w:rPr>
            </w:pPr>
            <w:r>
              <w:rPr>
                <w:rFonts w:hint="eastAsia" w:ascii="宋体" w:hAnsi="宋体" w:cs="宋体"/>
                <w:szCs w:val="22"/>
                <w:highlight w:val="none"/>
              </w:rPr>
              <w:t>符合招标公告要求及相关规定</w:t>
            </w:r>
          </w:p>
        </w:tc>
      </w:tr>
      <w:tr w14:paraId="696D4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BA103B6">
            <w:pPr>
              <w:spacing w:line="240" w:lineRule="auto"/>
              <w:jc w:val="left"/>
              <w:rPr>
                <w:rFonts w:hint="eastAsia" w:ascii="宋体" w:hAnsi="宋体" w:cs="宋体"/>
                <w:snapToGrid w:val="0"/>
                <w:kern w:val="0"/>
                <w:szCs w:val="21"/>
                <w:highlight w:val="none"/>
              </w:rPr>
            </w:pPr>
            <w:bookmarkStart w:id="53" w:name="踏勘现场条款号"/>
            <w:r>
              <w:rPr>
                <w:rFonts w:hint="eastAsia" w:ascii="宋体" w:hAnsi="宋体" w:cs="宋体"/>
                <w:snapToGrid w:val="0"/>
                <w:kern w:val="0"/>
                <w:szCs w:val="21"/>
                <w:highlight w:val="none"/>
              </w:rPr>
              <w:t>1.10.1</w:t>
            </w:r>
            <w:bookmarkEnd w:id="53"/>
          </w:p>
        </w:tc>
        <w:tc>
          <w:tcPr>
            <w:tcW w:w="1498" w:type="dxa"/>
          </w:tcPr>
          <w:p w14:paraId="7B182C6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踏勘现场</w:t>
            </w:r>
          </w:p>
        </w:tc>
        <w:tc>
          <w:tcPr>
            <w:tcW w:w="7186" w:type="dxa"/>
          </w:tcPr>
          <w:p w14:paraId="696BD8E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不组织</w:t>
            </w:r>
          </w:p>
        </w:tc>
      </w:tr>
      <w:tr w14:paraId="142C0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restart"/>
          </w:tcPr>
          <w:p w14:paraId="1F7F69A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2.2.1</w:t>
            </w:r>
          </w:p>
        </w:tc>
        <w:tc>
          <w:tcPr>
            <w:tcW w:w="1498" w:type="dxa"/>
          </w:tcPr>
          <w:p w14:paraId="76058A94">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投标人提出疑问或澄清的截止时间</w:t>
            </w:r>
          </w:p>
        </w:tc>
        <w:tc>
          <w:tcPr>
            <w:tcW w:w="7186" w:type="dxa"/>
          </w:tcPr>
          <w:p w14:paraId="4DA23837">
            <w:pPr>
              <w:tabs>
                <w:tab w:val="left" w:pos="2620"/>
              </w:tabs>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时间：</w:t>
            </w:r>
            <w:r>
              <w:rPr>
                <w:rFonts w:hint="eastAsia" w:ascii="宋体" w:hAnsi="宋体" w:cs="宋体"/>
                <w:szCs w:val="21"/>
                <w:highlight w:val="none"/>
                <w:u w:val="none"/>
              </w:rPr>
              <w:t>202</w:t>
            </w:r>
            <w:r>
              <w:rPr>
                <w:rFonts w:hint="eastAsia" w:ascii="宋体" w:hAnsi="宋体" w:cs="宋体"/>
                <w:szCs w:val="21"/>
                <w:highlight w:val="none"/>
                <w:u w:val="none"/>
                <w:lang w:val="en-US" w:eastAsia="zh-CN"/>
              </w:rPr>
              <w:t>5</w:t>
            </w:r>
            <w:r>
              <w:rPr>
                <w:rFonts w:hint="eastAsia" w:ascii="宋体" w:hAnsi="宋体" w:cs="宋体"/>
                <w:szCs w:val="21"/>
                <w:highlight w:val="none"/>
                <w:u w:val="none"/>
              </w:rPr>
              <w:t>年</w:t>
            </w:r>
            <w:r>
              <w:rPr>
                <w:rFonts w:hint="eastAsia" w:ascii="宋体" w:hAnsi="宋体" w:cs="宋体"/>
                <w:szCs w:val="21"/>
                <w:highlight w:val="none"/>
                <w:u w:val="none"/>
                <w:lang w:val="en-US" w:eastAsia="zh-CN"/>
              </w:rPr>
              <w:t>2</w:t>
            </w:r>
            <w:r>
              <w:rPr>
                <w:rFonts w:hint="eastAsia" w:ascii="宋体" w:hAnsi="宋体" w:cs="宋体"/>
                <w:szCs w:val="21"/>
                <w:highlight w:val="none"/>
                <w:u w:val="none"/>
              </w:rPr>
              <w:t>月</w:t>
            </w:r>
            <w:r>
              <w:rPr>
                <w:rFonts w:hint="eastAsia" w:ascii="宋体" w:hAnsi="宋体" w:cs="宋体"/>
                <w:szCs w:val="21"/>
                <w:highlight w:val="none"/>
                <w:u w:val="none"/>
                <w:lang w:val="en-US" w:eastAsia="zh-CN"/>
              </w:rPr>
              <w:t>12</w:t>
            </w:r>
            <w:r>
              <w:rPr>
                <w:rFonts w:hint="eastAsia" w:ascii="宋体" w:hAnsi="宋体" w:cs="宋体"/>
                <w:szCs w:val="21"/>
                <w:highlight w:val="none"/>
                <w:u w:val="none"/>
              </w:rPr>
              <w:t>日16:00</w:t>
            </w:r>
          </w:p>
          <w:p w14:paraId="70D2A5A9">
            <w:pPr>
              <w:spacing w:line="240" w:lineRule="auto"/>
              <w:jc w:val="left"/>
              <w:rPr>
                <w:rFonts w:hint="eastAsia" w:ascii="宋体" w:hAnsi="宋体" w:cs="宋体"/>
                <w:szCs w:val="21"/>
                <w:highlight w:val="none"/>
                <w:lang w:val="en-US" w:eastAsia="zh-CN"/>
              </w:rPr>
            </w:pPr>
            <w:r>
              <w:rPr>
                <w:rFonts w:hint="eastAsia" w:ascii="宋体" w:hAnsi="宋体" w:cs="宋体"/>
                <w:szCs w:val="21"/>
                <w:highlight w:val="none"/>
              </w:rPr>
              <w:t>地点：江苏鸿成工程项目管理有限公司</w:t>
            </w:r>
            <w:r>
              <w:rPr>
                <w:rFonts w:hint="eastAsia" w:ascii="宋体" w:hAnsi="宋体" w:cs="宋体"/>
                <w:szCs w:val="21"/>
                <w:highlight w:val="none"/>
                <w:lang w:val="en-US" w:eastAsia="zh-CN"/>
              </w:rPr>
              <w:t>305室</w:t>
            </w:r>
          </w:p>
          <w:p w14:paraId="2F6DF7B5">
            <w:pPr>
              <w:spacing w:line="240" w:lineRule="auto"/>
              <w:jc w:val="left"/>
              <w:rPr>
                <w:rFonts w:hint="eastAsia" w:ascii="宋体" w:hAnsi="宋体" w:cs="宋体"/>
                <w:szCs w:val="21"/>
                <w:highlight w:val="none"/>
                <w:u w:val="single"/>
              </w:rPr>
            </w:pPr>
            <w:r>
              <w:rPr>
                <w:rFonts w:hint="eastAsia" w:ascii="宋体" w:hAnsi="宋体" w:cs="宋体"/>
                <w:szCs w:val="21"/>
                <w:highlight w:val="none"/>
              </w:rPr>
              <w:t>方式：以书面形式。</w:t>
            </w:r>
          </w:p>
        </w:tc>
      </w:tr>
      <w:tr w14:paraId="34C74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continue"/>
          </w:tcPr>
          <w:p w14:paraId="79480EF2">
            <w:pPr>
              <w:spacing w:line="240" w:lineRule="auto"/>
              <w:jc w:val="left"/>
              <w:rPr>
                <w:rFonts w:hint="eastAsia" w:ascii="宋体" w:hAnsi="宋体" w:cs="宋体"/>
                <w:snapToGrid w:val="0"/>
                <w:kern w:val="0"/>
                <w:szCs w:val="21"/>
                <w:highlight w:val="none"/>
              </w:rPr>
            </w:pPr>
          </w:p>
        </w:tc>
        <w:tc>
          <w:tcPr>
            <w:tcW w:w="1498" w:type="dxa"/>
          </w:tcPr>
          <w:p w14:paraId="5C72509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招标人澄清的时间</w:t>
            </w:r>
          </w:p>
        </w:tc>
        <w:tc>
          <w:tcPr>
            <w:tcW w:w="7186" w:type="dxa"/>
          </w:tcPr>
          <w:p w14:paraId="7C163F40">
            <w:pPr>
              <w:spacing w:line="240" w:lineRule="auto"/>
              <w:jc w:val="left"/>
              <w:rPr>
                <w:rFonts w:hint="eastAsia" w:ascii="宋体" w:hAnsi="宋体" w:cs="宋体"/>
                <w:szCs w:val="21"/>
                <w:highlight w:val="none"/>
                <w:u w:val="none"/>
              </w:rPr>
            </w:pPr>
            <w:bookmarkStart w:id="54" w:name="EB58262dd563d2497b92ff4859ca98ac8b"/>
            <w:r>
              <w:rPr>
                <w:rFonts w:hint="eastAsia" w:ascii="宋体" w:hAnsi="宋体" w:cs="宋体"/>
                <w:szCs w:val="21"/>
                <w:highlight w:val="none"/>
                <w:u w:val="none"/>
              </w:rPr>
              <w:t>时间：</w:t>
            </w:r>
            <w:r>
              <w:rPr>
                <w:rFonts w:hint="eastAsia" w:ascii="宋体" w:hAnsi="宋体" w:cs="宋体"/>
                <w:szCs w:val="21"/>
                <w:highlight w:val="none"/>
                <w:u w:val="none"/>
              </w:rPr>
              <w:t>202</w:t>
            </w:r>
            <w:r>
              <w:rPr>
                <w:rFonts w:hint="eastAsia" w:ascii="宋体" w:hAnsi="宋体" w:cs="宋体"/>
                <w:szCs w:val="21"/>
                <w:highlight w:val="none"/>
                <w:u w:val="none"/>
                <w:lang w:val="en-US" w:eastAsia="zh-CN"/>
              </w:rPr>
              <w:t>5</w:t>
            </w:r>
            <w:r>
              <w:rPr>
                <w:rFonts w:hint="eastAsia" w:ascii="宋体" w:hAnsi="宋体" w:cs="宋体"/>
                <w:szCs w:val="21"/>
                <w:highlight w:val="none"/>
                <w:u w:val="none"/>
              </w:rPr>
              <w:t>年</w:t>
            </w:r>
            <w:r>
              <w:rPr>
                <w:rFonts w:hint="eastAsia" w:ascii="宋体" w:hAnsi="宋体" w:cs="宋体"/>
                <w:szCs w:val="21"/>
                <w:highlight w:val="none"/>
                <w:u w:val="none"/>
                <w:lang w:val="en-US" w:eastAsia="zh-CN"/>
              </w:rPr>
              <w:t>2</w:t>
            </w:r>
            <w:r>
              <w:rPr>
                <w:rFonts w:hint="eastAsia" w:ascii="宋体" w:hAnsi="宋体" w:cs="宋体"/>
                <w:szCs w:val="21"/>
                <w:highlight w:val="none"/>
                <w:u w:val="none"/>
              </w:rPr>
              <w:t>月</w:t>
            </w:r>
            <w:r>
              <w:rPr>
                <w:rFonts w:hint="eastAsia" w:ascii="宋体" w:hAnsi="宋体" w:cs="宋体"/>
                <w:szCs w:val="21"/>
                <w:highlight w:val="none"/>
                <w:u w:val="none"/>
                <w:lang w:val="en-US" w:eastAsia="zh-CN"/>
              </w:rPr>
              <w:t>13</w:t>
            </w:r>
            <w:r>
              <w:rPr>
                <w:rFonts w:hint="eastAsia" w:ascii="宋体" w:hAnsi="宋体" w:cs="宋体"/>
                <w:szCs w:val="21"/>
                <w:highlight w:val="none"/>
                <w:u w:val="none"/>
              </w:rPr>
              <w:t>日16:00</w:t>
            </w:r>
          </w:p>
          <w:bookmarkEnd w:id="54"/>
          <w:p w14:paraId="2F405053">
            <w:pPr>
              <w:spacing w:line="240" w:lineRule="auto"/>
              <w:jc w:val="left"/>
              <w:rPr>
                <w:rFonts w:hint="eastAsia" w:ascii="宋体" w:hAnsi="宋体" w:cs="宋体"/>
                <w:szCs w:val="21"/>
                <w:highlight w:val="none"/>
                <w:u w:val="none"/>
              </w:rPr>
            </w:pPr>
            <w:r>
              <w:rPr>
                <w:rFonts w:hint="eastAsia" w:ascii="宋体" w:hAnsi="宋体" w:cs="宋体"/>
                <w:szCs w:val="21"/>
                <w:highlight w:val="none"/>
                <w:u w:val="none"/>
              </w:rPr>
              <w:t>1、在招标公告的公示网站发布答疑</w:t>
            </w:r>
            <w:r>
              <w:rPr>
                <w:rFonts w:hint="eastAsia" w:ascii="宋体" w:hAnsi="宋体" w:cs="宋体"/>
                <w:szCs w:val="21"/>
                <w:highlight w:val="none"/>
                <w:u w:val="none"/>
                <w:lang w:eastAsia="zh-CN"/>
              </w:rPr>
              <w:t>（</w:t>
            </w:r>
            <w:r>
              <w:rPr>
                <w:rFonts w:hint="eastAsia" w:ascii="宋体" w:hAnsi="宋体" w:cs="宋体"/>
                <w:szCs w:val="21"/>
                <w:highlight w:val="none"/>
                <w:u w:val="none"/>
              </w:rPr>
              <w:t>或补充说明</w:t>
            </w:r>
            <w:r>
              <w:rPr>
                <w:rFonts w:hint="eastAsia" w:ascii="宋体" w:hAnsi="宋体" w:cs="宋体"/>
                <w:szCs w:val="21"/>
                <w:highlight w:val="none"/>
                <w:u w:val="none"/>
                <w:lang w:eastAsia="zh-CN"/>
              </w:rPr>
              <w:t>），或招标代理机构以邮件形式发送至投标人报名邮箱</w:t>
            </w:r>
            <w:r>
              <w:rPr>
                <w:rFonts w:hint="eastAsia" w:ascii="宋体" w:hAnsi="宋体" w:cs="宋体"/>
                <w:szCs w:val="21"/>
                <w:highlight w:val="none"/>
                <w:u w:val="none"/>
              </w:rPr>
              <w:t>。</w:t>
            </w:r>
          </w:p>
          <w:p w14:paraId="7671BF57">
            <w:pPr>
              <w:spacing w:line="240" w:lineRule="auto"/>
              <w:jc w:val="left"/>
              <w:rPr>
                <w:rFonts w:hint="eastAsia" w:ascii="宋体" w:hAnsi="宋体" w:cs="宋体"/>
                <w:szCs w:val="21"/>
                <w:highlight w:val="none"/>
                <w:u w:val="none"/>
              </w:rPr>
            </w:pPr>
            <w:r>
              <w:rPr>
                <w:rFonts w:hint="eastAsia" w:ascii="宋体" w:hAnsi="宋体" w:cs="宋体"/>
                <w:szCs w:val="21"/>
                <w:highlight w:val="none"/>
                <w:u w:val="none"/>
              </w:rPr>
              <w:t>2、招标人可主动或在解答投标人提出的澄清答疑时对招标文件进行修改，招标文件的修改也以答疑形式同步发布。</w:t>
            </w:r>
          </w:p>
          <w:p w14:paraId="083797FF">
            <w:pPr>
              <w:spacing w:line="240" w:lineRule="auto"/>
              <w:jc w:val="left"/>
              <w:rPr>
                <w:rFonts w:hint="eastAsia" w:ascii="宋体" w:hAnsi="宋体" w:cs="宋体"/>
                <w:szCs w:val="21"/>
                <w:highlight w:val="none"/>
              </w:rPr>
            </w:pPr>
            <w:r>
              <w:rPr>
                <w:rFonts w:hint="eastAsia" w:ascii="宋体" w:hAnsi="宋体" w:cs="宋体"/>
                <w:szCs w:val="21"/>
                <w:highlight w:val="none"/>
                <w:u w:val="none"/>
                <w:lang w:val="en-US" w:eastAsia="zh-CN"/>
              </w:rPr>
              <w:t>3、投标人应在投标截止时间前随时查看有关本项目招标文件的答疑内容。否则，由此引起的投标损失自负。</w:t>
            </w:r>
          </w:p>
        </w:tc>
      </w:tr>
      <w:tr w14:paraId="4F80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CA65AD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2.2.2</w:t>
            </w:r>
          </w:p>
        </w:tc>
        <w:tc>
          <w:tcPr>
            <w:tcW w:w="1498" w:type="dxa"/>
          </w:tcPr>
          <w:p w14:paraId="74F79855">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投标截止时间</w:t>
            </w:r>
          </w:p>
        </w:tc>
        <w:tc>
          <w:tcPr>
            <w:tcW w:w="7186" w:type="dxa"/>
          </w:tcPr>
          <w:p w14:paraId="599BF7DA">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2</w:t>
            </w:r>
            <w:r>
              <w:rPr>
                <w:rFonts w:hint="eastAsia" w:ascii="宋体" w:hAnsi="宋体" w:cs="宋体"/>
                <w:szCs w:val="21"/>
                <w:highlight w:val="none"/>
              </w:rPr>
              <w:t>月</w:t>
            </w:r>
            <w:r>
              <w:rPr>
                <w:rFonts w:hint="eastAsia" w:ascii="宋体" w:hAnsi="宋体" w:cs="宋体"/>
                <w:szCs w:val="21"/>
                <w:highlight w:val="none"/>
                <w:u w:val="single"/>
                <w:lang w:val="en-US" w:eastAsia="zh-CN"/>
              </w:rPr>
              <w:t>17</w:t>
            </w:r>
            <w:r>
              <w:rPr>
                <w:rFonts w:hint="eastAsia" w:ascii="宋体" w:hAnsi="宋体" w:cs="宋体"/>
                <w:szCs w:val="21"/>
                <w:highlight w:val="none"/>
              </w:rPr>
              <w:t>日</w:t>
            </w:r>
            <w:r>
              <w:rPr>
                <w:rFonts w:hint="eastAsia" w:ascii="宋体" w:hAnsi="宋体" w:cs="宋体"/>
                <w:szCs w:val="21"/>
                <w:highlight w:val="none"/>
                <w:u w:val="single"/>
                <w:lang w:val="en-US" w:eastAsia="zh-CN"/>
              </w:rPr>
              <w:t>14</w:t>
            </w:r>
            <w:r>
              <w:rPr>
                <w:rFonts w:hint="eastAsia" w:ascii="宋体" w:hAnsi="宋体" w:cs="宋体"/>
                <w:szCs w:val="21"/>
                <w:highlight w:val="none"/>
              </w:rPr>
              <w:t>时</w:t>
            </w:r>
            <w:r>
              <w:rPr>
                <w:rFonts w:hint="eastAsia" w:ascii="宋体" w:hAnsi="宋体" w:cs="宋体"/>
                <w:szCs w:val="21"/>
                <w:highlight w:val="none"/>
                <w:u w:val="single"/>
                <w:lang w:val="en-US" w:eastAsia="zh-CN"/>
              </w:rPr>
              <w:t>00</w:t>
            </w:r>
            <w:r>
              <w:rPr>
                <w:rFonts w:hint="eastAsia" w:ascii="宋体" w:hAnsi="宋体" w:cs="宋体"/>
                <w:szCs w:val="21"/>
                <w:highlight w:val="none"/>
              </w:rPr>
              <w:t>分</w:t>
            </w:r>
          </w:p>
        </w:tc>
      </w:tr>
      <w:tr w14:paraId="5B96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59" w:type="dxa"/>
          </w:tcPr>
          <w:p w14:paraId="0910C95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3.1</w:t>
            </w:r>
          </w:p>
        </w:tc>
        <w:tc>
          <w:tcPr>
            <w:tcW w:w="1498" w:type="dxa"/>
          </w:tcPr>
          <w:p w14:paraId="6408048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投标文件的组成</w:t>
            </w:r>
          </w:p>
        </w:tc>
        <w:tc>
          <w:tcPr>
            <w:tcW w:w="7186" w:type="dxa"/>
          </w:tcPr>
          <w:p w14:paraId="22A1F87F">
            <w:pPr>
              <w:spacing w:line="240" w:lineRule="auto"/>
              <w:jc w:val="left"/>
              <w:rPr>
                <w:rFonts w:hint="eastAsia" w:ascii="宋体" w:hAnsi="宋体" w:cs="宋体"/>
                <w:szCs w:val="21"/>
                <w:highlight w:val="none"/>
              </w:rPr>
            </w:pPr>
            <w:r>
              <w:rPr>
                <w:rFonts w:hint="eastAsia" w:ascii="宋体" w:hAnsi="宋体" w:cs="宋体"/>
                <w:szCs w:val="21"/>
                <w:highlight w:val="none"/>
              </w:rPr>
              <w:t>1、商务文件部分：</w:t>
            </w:r>
          </w:p>
          <w:p w14:paraId="3AC6F0FC">
            <w:pPr>
              <w:spacing w:line="240" w:lineRule="auto"/>
              <w:jc w:val="left"/>
              <w:rPr>
                <w:rFonts w:hint="eastAsia" w:ascii="宋体" w:hAnsi="宋体" w:cs="宋体"/>
                <w:szCs w:val="21"/>
                <w:highlight w:val="none"/>
              </w:rPr>
            </w:pPr>
            <w:r>
              <w:rPr>
                <w:rFonts w:hint="eastAsia" w:ascii="宋体" w:hAnsi="宋体" w:cs="宋体"/>
                <w:szCs w:val="21"/>
                <w:highlight w:val="none"/>
              </w:rPr>
              <w:t>√投标函及其附录；</w:t>
            </w:r>
          </w:p>
          <w:p w14:paraId="7D17CD02">
            <w:pPr>
              <w:spacing w:line="240" w:lineRule="auto"/>
              <w:jc w:val="left"/>
              <w:rPr>
                <w:rFonts w:hint="eastAsia" w:ascii="宋体" w:hAnsi="宋体" w:cs="宋体"/>
                <w:szCs w:val="21"/>
                <w:highlight w:val="none"/>
              </w:rPr>
            </w:pPr>
            <w:r>
              <w:rPr>
                <w:rFonts w:hint="eastAsia" w:ascii="宋体" w:hAnsi="宋体" w:cs="宋体"/>
                <w:szCs w:val="21"/>
                <w:highlight w:val="none"/>
              </w:rPr>
              <w:t>√法定代表人身份证明；</w:t>
            </w:r>
          </w:p>
          <w:p w14:paraId="1520C149">
            <w:pPr>
              <w:spacing w:line="240" w:lineRule="auto"/>
              <w:jc w:val="left"/>
              <w:rPr>
                <w:rFonts w:hint="eastAsia" w:ascii="宋体" w:hAnsi="宋体" w:cs="宋体"/>
                <w:szCs w:val="21"/>
                <w:highlight w:val="none"/>
              </w:rPr>
            </w:pPr>
            <w:r>
              <w:rPr>
                <w:rFonts w:hint="eastAsia" w:ascii="宋体" w:hAnsi="宋体" w:cs="宋体"/>
                <w:szCs w:val="21"/>
                <w:highlight w:val="none"/>
              </w:rPr>
              <w:t>√授权委托书；</w:t>
            </w:r>
          </w:p>
          <w:p w14:paraId="24A3D53A">
            <w:pPr>
              <w:spacing w:line="240" w:lineRule="auto"/>
              <w:jc w:val="left"/>
              <w:rPr>
                <w:rFonts w:hint="eastAsia" w:ascii="宋体" w:hAnsi="宋体" w:cs="宋体"/>
                <w:szCs w:val="21"/>
                <w:highlight w:val="none"/>
              </w:rPr>
            </w:pPr>
            <w:r>
              <w:rPr>
                <w:rFonts w:hint="eastAsia" w:ascii="宋体" w:hAnsi="宋体" w:cs="宋体"/>
                <w:szCs w:val="21"/>
                <w:highlight w:val="none"/>
              </w:rPr>
              <w:t>√联合体协议书（如有）；</w:t>
            </w:r>
          </w:p>
          <w:p w14:paraId="3C37E564">
            <w:pPr>
              <w:spacing w:line="240" w:lineRule="auto"/>
              <w:jc w:val="left"/>
              <w:rPr>
                <w:rFonts w:hint="eastAsia" w:ascii="宋体" w:hAnsi="宋体" w:cs="宋体"/>
                <w:szCs w:val="21"/>
                <w:highlight w:val="none"/>
              </w:rPr>
            </w:pPr>
            <w:r>
              <w:rPr>
                <w:rFonts w:hint="eastAsia" w:ascii="宋体" w:hAnsi="宋体" w:cs="宋体"/>
                <w:szCs w:val="21"/>
                <w:highlight w:val="none"/>
              </w:rPr>
              <w:t>√投标保证金交纳确认函；</w:t>
            </w:r>
          </w:p>
          <w:p w14:paraId="47680691">
            <w:pPr>
              <w:spacing w:line="240" w:lineRule="auto"/>
              <w:jc w:val="left"/>
              <w:rPr>
                <w:rFonts w:hint="eastAsia" w:ascii="宋体" w:hAnsi="宋体" w:cs="宋体"/>
                <w:szCs w:val="21"/>
                <w:highlight w:val="none"/>
              </w:rPr>
            </w:pPr>
            <w:r>
              <w:rPr>
                <w:rFonts w:hint="eastAsia" w:ascii="宋体" w:hAnsi="宋体" w:cs="宋体"/>
                <w:szCs w:val="21"/>
                <w:highlight w:val="none"/>
              </w:rPr>
              <w:t>√投标人基本情况；</w:t>
            </w:r>
          </w:p>
          <w:p w14:paraId="7CD0CF53">
            <w:pPr>
              <w:spacing w:line="240" w:lineRule="auto"/>
              <w:jc w:val="left"/>
              <w:rPr>
                <w:rFonts w:hint="eastAsia" w:ascii="宋体" w:hAnsi="宋体" w:cs="宋体"/>
                <w:szCs w:val="21"/>
                <w:highlight w:val="none"/>
              </w:rPr>
            </w:pPr>
            <w:r>
              <w:rPr>
                <w:rFonts w:hint="eastAsia" w:ascii="宋体" w:hAnsi="宋体" w:cs="宋体"/>
                <w:szCs w:val="21"/>
                <w:highlight w:val="none"/>
              </w:rPr>
              <w:t>√全过程工程咨询服务机构及人员配备及附件；</w:t>
            </w:r>
          </w:p>
          <w:p w14:paraId="71AE9D82">
            <w:pPr>
              <w:spacing w:line="240" w:lineRule="auto"/>
              <w:jc w:val="left"/>
              <w:rPr>
                <w:rFonts w:hint="eastAsia" w:ascii="宋体" w:hAnsi="宋体" w:cs="宋体"/>
                <w:szCs w:val="21"/>
                <w:highlight w:val="none"/>
              </w:rPr>
            </w:pPr>
            <w:r>
              <w:rPr>
                <w:rFonts w:hint="eastAsia" w:ascii="宋体" w:hAnsi="宋体" w:cs="宋体"/>
                <w:szCs w:val="21"/>
                <w:highlight w:val="none"/>
              </w:rPr>
              <w:t>√业绩资料及附件；</w:t>
            </w:r>
          </w:p>
          <w:p w14:paraId="15009ACD">
            <w:pPr>
              <w:spacing w:line="240" w:lineRule="auto"/>
              <w:jc w:val="left"/>
              <w:rPr>
                <w:rFonts w:hint="eastAsia" w:ascii="宋体" w:hAnsi="宋体" w:cs="宋体"/>
                <w:szCs w:val="21"/>
                <w:highlight w:val="none"/>
              </w:rPr>
            </w:pPr>
            <w:r>
              <w:rPr>
                <w:rFonts w:hint="eastAsia" w:ascii="宋体" w:hAnsi="宋体" w:cs="宋体"/>
                <w:szCs w:val="21"/>
                <w:highlight w:val="none"/>
              </w:rPr>
              <w:t>√拟分包计划表（如有）；</w:t>
            </w:r>
          </w:p>
          <w:p w14:paraId="533F5E52">
            <w:pPr>
              <w:spacing w:line="240" w:lineRule="auto"/>
              <w:jc w:val="left"/>
              <w:rPr>
                <w:rFonts w:hint="eastAsia" w:ascii="宋体" w:hAnsi="宋体" w:cs="宋体"/>
                <w:szCs w:val="21"/>
                <w:highlight w:val="none"/>
              </w:rPr>
            </w:pPr>
            <w:r>
              <w:rPr>
                <w:rFonts w:hint="eastAsia" w:ascii="宋体" w:hAnsi="宋体" w:cs="宋体"/>
                <w:szCs w:val="21"/>
                <w:highlight w:val="none"/>
              </w:rPr>
              <w:t>√自评分表</w:t>
            </w:r>
          </w:p>
          <w:p w14:paraId="4112644E">
            <w:pPr>
              <w:spacing w:line="240" w:lineRule="auto"/>
              <w:jc w:val="left"/>
              <w:rPr>
                <w:rFonts w:hint="eastAsia" w:ascii="宋体" w:hAnsi="宋体" w:cs="宋体"/>
                <w:szCs w:val="21"/>
                <w:highlight w:val="none"/>
              </w:rPr>
            </w:pPr>
            <w:r>
              <w:rPr>
                <w:rFonts w:ascii="宋体" w:hAnsi="宋体" w:cs="宋体"/>
                <w:szCs w:val="21"/>
                <w:highlight w:val="none"/>
              </w:rPr>
              <w:t>2</w:t>
            </w:r>
            <w:r>
              <w:rPr>
                <w:rFonts w:hint="eastAsia" w:ascii="宋体" w:hAnsi="宋体" w:cs="宋体"/>
                <w:szCs w:val="21"/>
                <w:highlight w:val="none"/>
              </w:rPr>
              <w:t>、技术文件部分：</w:t>
            </w:r>
          </w:p>
          <w:p w14:paraId="799EC91E">
            <w:pPr>
              <w:spacing w:line="240" w:lineRule="auto"/>
              <w:jc w:val="left"/>
              <w:rPr>
                <w:highlight w:val="none"/>
              </w:rPr>
            </w:pPr>
            <w:r>
              <w:rPr>
                <w:rFonts w:hint="eastAsia" w:ascii="宋体" w:hAnsi="宋体" w:cs="宋体"/>
                <w:szCs w:val="21"/>
                <w:highlight w:val="none"/>
              </w:rPr>
              <w:t>√全过程工程咨询服务实施方案。</w:t>
            </w:r>
          </w:p>
        </w:tc>
      </w:tr>
      <w:tr w14:paraId="1B3B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59" w:type="dxa"/>
          </w:tcPr>
          <w:p w14:paraId="36E0FC0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3.2.1</w:t>
            </w:r>
          </w:p>
        </w:tc>
        <w:tc>
          <w:tcPr>
            <w:tcW w:w="1498" w:type="dxa"/>
            <w:vAlign w:val="center"/>
          </w:tcPr>
          <w:p w14:paraId="7030915F">
            <w:pPr>
              <w:spacing w:line="240" w:lineRule="auto"/>
              <w:jc w:val="left"/>
              <w:rPr>
                <w:rFonts w:hint="eastAsia" w:ascii="宋体" w:hAnsi="宋体" w:cs="宋体"/>
                <w:highlight w:val="none"/>
              </w:rPr>
            </w:pPr>
            <w:r>
              <w:rPr>
                <w:rFonts w:hint="eastAsia" w:ascii="宋体" w:hAnsi="宋体" w:cs="宋体"/>
                <w:highlight w:val="none"/>
              </w:rPr>
              <w:t>全过程工程咨询</w:t>
            </w:r>
            <w:r>
              <w:rPr>
                <w:rFonts w:hint="eastAsia" w:ascii="宋体" w:hAnsi="宋体" w:cs="宋体"/>
                <w:snapToGrid w:val="0"/>
                <w:kern w:val="0"/>
                <w:szCs w:val="21"/>
                <w:highlight w:val="none"/>
              </w:rPr>
              <w:t>服务费投标报价结算方式</w:t>
            </w:r>
          </w:p>
        </w:tc>
        <w:tc>
          <w:tcPr>
            <w:tcW w:w="7186" w:type="dxa"/>
          </w:tcPr>
          <w:p w14:paraId="1245CFA4">
            <w:pPr>
              <w:spacing w:line="240" w:lineRule="auto"/>
              <w:jc w:val="left"/>
              <w:rPr>
                <w:rFonts w:hint="eastAsia" w:ascii="宋体" w:hAnsi="宋体" w:cs="宋体"/>
                <w:szCs w:val="21"/>
                <w:highlight w:val="none"/>
              </w:rPr>
            </w:pPr>
            <w:r>
              <w:rPr>
                <w:rFonts w:hint="eastAsia"/>
                <w:szCs w:val="21"/>
                <w:highlight w:val="none"/>
              </w:rPr>
              <w:t>结算时，基准价按工程审定造价参照投标人须知前附表第3.2.2款的计算方法</w:t>
            </w:r>
            <w:r>
              <w:rPr>
                <w:rFonts w:hint="eastAsia" w:ascii="宋体" w:hAnsi="宋体" w:cs="宋体"/>
                <w:bCs/>
                <w:szCs w:val="21"/>
                <w:highlight w:val="none"/>
              </w:rPr>
              <w:t>及附件一：宜兴市公用环保集团第三方审计单位审计工作考核制度、附件二：宜兴市公用环保集团监理单位工作考核制度的要求作相应</w:t>
            </w:r>
            <w:r>
              <w:rPr>
                <w:rFonts w:hint="eastAsia"/>
                <w:szCs w:val="21"/>
                <w:highlight w:val="none"/>
              </w:rPr>
              <w:t>的调整，并乘以投标比率，投标比率不作调整。</w:t>
            </w:r>
          </w:p>
        </w:tc>
      </w:tr>
      <w:tr w14:paraId="3485C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719167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3.2.2</w:t>
            </w:r>
          </w:p>
        </w:tc>
        <w:tc>
          <w:tcPr>
            <w:tcW w:w="1498" w:type="dxa"/>
            <w:vAlign w:val="center"/>
          </w:tcPr>
          <w:p w14:paraId="78802780">
            <w:pPr>
              <w:spacing w:line="240" w:lineRule="auto"/>
              <w:jc w:val="left"/>
              <w:rPr>
                <w:rFonts w:hint="eastAsia" w:ascii="宋体" w:hAnsi="宋体" w:cs="宋体"/>
                <w:snapToGrid w:val="0"/>
                <w:kern w:val="0"/>
                <w:szCs w:val="21"/>
                <w:highlight w:val="none"/>
              </w:rPr>
            </w:pPr>
            <w:r>
              <w:rPr>
                <w:rFonts w:hint="eastAsia" w:ascii="宋体" w:hAnsi="宋体" w:cs="宋体"/>
                <w:highlight w:val="none"/>
              </w:rPr>
              <w:t>全过程工程咨询</w:t>
            </w:r>
            <w:r>
              <w:rPr>
                <w:rFonts w:hint="eastAsia" w:ascii="宋体" w:hAnsi="宋体" w:cs="宋体"/>
                <w:snapToGrid w:val="0"/>
                <w:kern w:val="0"/>
                <w:szCs w:val="21"/>
                <w:highlight w:val="none"/>
              </w:rPr>
              <w:t>服务费最高限价</w:t>
            </w:r>
          </w:p>
        </w:tc>
        <w:tc>
          <w:tcPr>
            <w:tcW w:w="7186" w:type="dxa"/>
          </w:tcPr>
          <w:p w14:paraId="677849E4">
            <w:pPr>
              <w:spacing w:line="240" w:lineRule="auto"/>
              <w:jc w:val="left"/>
              <w:rPr>
                <w:rFonts w:hint="eastAsia" w:ascii="宋体" w:hAnsi="宋体" w:cs="宋体"/>
                <w:bCs/>
                <w:szCs w:val="21"/>
                <w:highlight w:val="none"/>
              </w:rPr>
            </w:pPr>
            <w:r>
              <w:rPr>
                <w:rFonts w:hint="eastAsia" w:ascii="宋体" w:hAnsi="宋体" w:cs="宋体"/>
                <w:bCs/>
                <w:szCs w:val="21"/>
                <w:highlight w:val="none"/>
              </w:rPr>
              <w:t>本项目投标按比率进行报价，评审时按总价进行评审（工程建安费暂按</w:t>
            </w:r>
            <w:r>
              <w:rPr>
                <w:rFonts w:hint="eastAsia" w:ascii="宋体"/>
                <w:snapToGrid w:val="0"/>
                <w:kern w:val="0"/>
                <w:szCs w:val="21"/>
                <w:highlight w:val="none"/>
                <w:lang w:val="en-US" w:eastAsia="zh-CN"/>
              </w:rPr>
              <w:t>3020.88</w:t>
            </w:r>
            <w:r>
              <w:rPr>
                <w:rFonts w:hint="eastAsia" w:ascii="宋体"/>
                <w:snapToGrid w:val="0"/>
                <w:kern w:val="0"/>
                <w:szCs w:val="21"/>
                <w:highlight w:val="none"/>
              </w:rPr>
              <w:t>万元</w:t>
            </w:r>
            <w:r>
              <w:rPr>
                <w:rFonts w:hint="eastAsia" w:ascii="宋体" w:hAnsi="宋体" w:cs="宋体"/>
                <w:bCs/>
                <w:szCs w:val="21"/>
                <w:highlight w:val="none"/>
              </w:rPr>
              <w:t>计算），最高投标限价为</w:t>
            </w:r>
            <w:r>
              <w:rPr>
                <w:rFonts w:hint="eastAsia" w:ascii="宋体" w:hAnsi="宋体" w:cs="宋体"/>
                <w:bCs/>
                <w:szCs w:val="21"/>
                <w:highlight w:val="none"/>
                <w:lang w:val="en-US" w:eastAsia="zh-CN"/>
              </w:rPr>
              <w:t>49.58</w:t>
            </w:r>
            <w:r>
              <w:rPr>
                <w:rFonts w:hint="eastAsia" w:ascii="宋体" w:hAnsi="宋体" w:cs="宋体"/>
                <w:bCs/>
                <w:szCs w:val="21"/>
                <w:highlight w:val="none"/>
              </w:rPr>
              <w:t>万元。</w:t>
            </w:r>
          </w:p>
          <w:p w14:paraId="0CB79B5B">
            <w:pPr>
              <w:spacing w:line="240" w:lineRule="auto"/>
              <w:jc w:val="left"/>
              <w:rPr>
                <w:rFonts w:hint="eastAsia" w:ascii="宋体" w:hAnsi="宋体" w:cs="宋体"/>
                <w:bCs/>
                <w:szCs w:val="21"/>
                <w:highlight w:val="none"/>
              </w:rPr>
            </w:pPr>
            <w:r>
              <w:rPr>
                <w:rFonts w:hint="eastAsia" w:ascii="宋体" w:hAnsi="宋体" w:cs="宋体"/>
                <w:bCs/>
                <w:szCs w:val="21"/>
                <w:highlight w:val="none"/>
              </w:rPr>
              <w:t>计算方法：</w:t>
            </w:r>
          </w:p>
          <w:p w14:paraId="7ACF9845">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1、造价咨询费（跟踪审计、结算审计）：</w:t>
            </w:r>
          </w:p>
          <w:p w14:paraId="09118156">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跟踪审计：按宜纪[2009]23号文《关于市政府建设项目委托中介机构参审审计费用结算问题的协调会议纪要》规定的基价×投标比率计取，（跟踪审计费暂定基价为：100*0.6%+900*0.5%+</w:t>
            </w:r>
            <w:r>
              <w:rPr>
                <w:rFonts w:hint="eastAsia" w:ascii="宋体" w:hAnsi="宋体" w:cs="宋体"/>
                <w:color w:val="000000"/>
                <w:szCs w:val="21"/>
                <w:highlight w:val="none"/>
                <w:lang w:val="en-US" w:eastAsia="zh-CN"/>
              </w:rPr>
              <w:t>2020.88</w:t>
            </w:r>
            <w:r>
              <w:rPr>
                <w:rFonts w:hint="eastAsia" w:ascii="宋体" w:hAnsi="宋体" w:cs="宋体"/>
                <w:color w:val="000000"/>
                <w:szCs w:val="21"/>
                <w:highlight w:val="none"/>
              </w:rPr>
              <w:t>*0.4%=</w:t>
            </w:r>
            <w:r>
              <w:rPr>
                <w:rFonts w:hint="eastAsia" w:ascii="宋体" w:hAnsi="宋体" w:cs="宋体"/>
                <w:color w:val="000000"/>
                <w:szCs w:val="21"/>
                <w:highlight w:val="none"/>
                <w:lang w:val="en-US" w:eastAsia="zh-CN"/>
              </w:rPr>
              <w:t>13.18</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70</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9.23</w:t>
            </w:r>
            <w:r>
              <w:rPr>
                <w:rFonts w:hint="eastAsia" w:ascii="宋体" w:hAnsi="宋体" w:cs="宋体"/>
                <w:color w:val="000000"/>
                <w:szCs w:val="21"/>
                <w:highlight w:val="none"/>
              </w:rPr>
              <w:t>万元）</w:t>
            </w:r>
          </w:p>
          <w:p w14:paraId="7F9B73DD">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结算审计：</w:t>
            </w:r>
            <w:r>
              <w:rPr>
                <w:rFonts w:hint="eastAsia" w:ascii="宋体" w:hAnsi="宋体" w:cs="宋体"/>
                <w:color w:val="000000"/>
                <w:szCs w:val="21"/>
                <w:highlight w:val="none"/>
                <w:lang w:val="en-US" w:eastAsia="zh-CN"/>
              </w:rPr>
              <w:t>按</w:t>
            </w:r>
            <w:r>
              <w:rPr>
                <w:rFonts w:hint="eastAsia" w:ascii="宋体" w:hAnsi="宋体" w:cs="宋体"/>
                <w:color w:val="000000"/>
                <w:szCs w:val="21"/>
                <w:highlight w:val="none"/>
              </w:rPr>
              <w:t>宜纪[2009]23号文《关于市政府建设项目委托中介机构参审审计费用结算问题的协调会议纪要》规定的基价×投标比率计取，(结算审计费暂定基价为：</w:t>
            </w:r>
            <w:r>
              <w:rPr>
                <w:rFonts w:hint="eastAsia" w:ascii="宋体" w:hAnsi="宋体" w:cs="宋体"/>
                <w:color w:val="000000"/>
                <w:szCs w:val="21"/>
                <w:highlight w:val="none"/>
                <w:lang w:val="en-US" w:eastAsia="zh-CN"/>
              </w:rPr>
              <w:t>3020.88</w:t>
            </w:r>
            <w:r>
              <w:rPr>
                <w:rFonts w:hint="eastAsia" w:ascii="宋体" w:hAnsi="宋体" w:cs="宋体"/>
                <w:color w:val="000000"/>
                <w:szCs w:val="21"/>
                <w:highlight w:val="none"/>
              </w:rPr>
              <w:t>×5%*5%=</w:t>
            </w:r>
            <w:r>
              <w:rPr>
                <w:rFonts w:hint="eastAsia" w:ascii="宋体" w:hAnsi="宋体" w:cs="宋体"/>
                <w:color w:val="000000"/>
                <w:szCs w:val="21"/>
                <w:highlight w:val="none"/>
                <w:lang w:val="en-US" w:eastAsia="zh-CN"/>
              </w:rPr>
              <w:t>7.55</w:t>
            </w:r>
            <w:r>
              <w:rPr>
                <w:rFonts w:hint="eastAsia" w:ascii="宋体" w:hAnsi="宋体" w:cs="宋体"/>
                <w:color w:val="000000"/>
                <w:szCs w:val="21"/>
                <w:highlight w:val="none"/>
              </w:rPr>
              <w:t>万元，最高投标比率为70%，最高投标限价为</w:t>
            </w:r>
            <w:r>
              <w:rPr>
                <w:rFonts w:hint="eastAsia" w:ascii="宋体" w:hAnsi="宋体" w:cs="宋体"/>
                <w:color w:val="000000"/>
                <w:szCs w:val="21"/>
                <w:highlight w:val="none"/>
                <w:lang w:val="en-US" w:eastAsia="zh-CN"/>
              </w:rPr>
              <w:t>5.29</w:t>
            </w:r>
            <w:r>
              <w:rPr>
                <w:rFonts w:hint="eastAsia" w:ascii="宋体" w:hAnsi="宋体" w:cs="宋体"/>
                <w:color w:val="000000"/>
                <w:szCs w:val="21"/>
                <w:highlight w:val="none"/>
              </w:rPr>
              <w:t>万元)</w:t>
            </w:r>
          </w:p>
          <w:p w14:paraId="09B8EB43">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2、</w:t>
            </w:r>
            <w:r>
              <w:rPr>
                <w:rFonts w:hint="eastAsia" w:ascii="宋体" w:hAnsi="宋体" w:cs="宋体"/>
                <w:color w:val="000000"/>
                <w:szCs w:val="21"/>
                <w:highlight w:val="none"/>
              </w:rPr>
              <w:t>工程监理</w:t>
            </w:r>
            <w:r>
              <w:rPr>
                <w:rFonts w:hint="eastAsia" w:ascii="宋体" w:hAnsi="宋体" w:cs="宋体"/>
                <w:color w:val="000000"/>
                <w:szCs w:val="21"/>
                <w:highlight w:val="none"/>
                <w:lang w:val="en-US" w:eastAsia="zh-CN"/>
              </w:rPr>
              <w:t>费</w:t>
            </w:r>
            <w:r>
              <w:rPr>
                <w:rFonts w:hint="eastAsia" w:ascii="宋体" w:hAnsi="宋体" w:cs="宋体"/>
                <w:color w:val="000000"/>
                <w:szCs w:val="21"/>
                <w:highlight w:val="none"/>
              </w:rPr>
              <w:t>：按《江苏省水利工程设计概（估）算编制规定（2017年修订）》规定的基价*投标比率计取，（工程监理费暂定基价为：((</w:t>
            </w:r>
            <w:r>
              <w:rPr>
                <w:rFonts w:hint="eastAsia" w:ascii="宋体" w:hAnsi="宋体" w:cs="宋体"/>
                <w:color w:val="000000"/>
                <w:szCs w:val="21"/>
                <w:highlight w:val="none"/>
                <w:lang w:val="en-US" w:eastAsia="zh-CN"/>
              </w:rPr>
              <w:t>120.8-78.1</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5000-3000</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3020.88-3000</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78.1</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78.55</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44</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34.56</w:t>
            </w:r>
            <w:r>
              <w:rPr>
                <w:rFonts w:hint="eastAsia" w:ascii="宋体" w:hAnsi="宋体" w:cs="宋体"/>
                <w:color w:val="000000"/>
                <w:szCs w:val="21"/>
                <w:highlight w:val="none"/>
              </w:rPr>
              <w:t>万元）</w:t>
            </w:r>
          </w:p>
          <w:p w14:paraId="16261420">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3、项目管理服务费：按财建【2016】504号文规定的基价×投标比率计取，（项目管理费暂定基价为：1000*2%+</w:t>
            </w:r>
            <w:r>
              <w:rPr>
                <w:rFonts w:hint="eastAsia" w:ascii="宋体" w:hAnsi="宋体" w:cs="宋体"/>
                <w:color w:val="000000"/>
                <w:szCs w:val="21"/>
                <w:highlight w:val="none"/>
                <w:lang w:val="en-US" w:eastAsia="zh-CN"/>
              </w:rPr>
              <w:t>2020.88</w:t>
            </w:r>
            <w:r>
              <w:rPr>
                <w:rFonts w:hint="eastAsia" w:ascii="宋体" w:hAnsi="宋体" w:cs="宋体"/>
                <w:color w:val="000000"/>
                <w:szCs w:val="21"/>
                <w:highlight w:val="none"/>
              </w:rPr>
              <w:t>*1.5%=</w:t>
            </w:r>
            <w:r>
              <w:rPr>
                <w:rFonts w:hint="eastAsia" w:ascii="宋体" w:hAnsi="宋体" w:cs="宋体"/>
                <w:color w:val="000000"/>
                <w:szCs w:val="21"/>
                <w:highlight w:val="none"/>
                <w:lang w:val="en-US" w:eastAsia="zh-CN"/>
              </w:rPr>
              <w:t>50.31</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1</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0.5</w:t>
            </w:r>
            <w:r>
              <w:rPr>
                <w:rFonts w:hint="eastAsia" w:ascii="宋体" w:hAnsi="宋体" w:cs="宋体"/>
                <w:color w:val="000000"/>
                <w:szCs w:val="21"/>
                <w:highlight w:val="none"/>
              </w:rPr>
              <w:t>万元）</w:t>
            </w:r>
          </w:p>
          <w:p w14:paraId="4DDEDE99">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共计：</w:t>
            </w:r>
            <w:r>
              <w:rPr>
                <w:rFonts w:hint="eastAsia" w:ascii="宋体" w:hAnsi="宋体" w:cs="宋体"/>
                <w:color w:val="000000"/>
                <w:szCs w:val="21"/>
                <w:highlight w:val="none"/>
                <w:lang w:val="en-US" w:eastAsia="zh-CN"/>
              </w:rPr>
              <w:t>9.23+5.29+34.56+0.5</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49.58</w:t>
            </w:r>
            <w:r>
              <w:rPr>
                <w:rFonts w:hint="eastAsia" w:ascii="宋体" w:hAnsi="宋体" w:cs="宋体"/>
                <w:color w:val="000000"/>
                <w:szCs w:val="21"/>
                <w:highlight w:val="none"/>
              </w:rPr>
              <w:t>万元</w:t>
            </w:r>
          </w:p>
          <w:p w14:paraId="7A0E7EA7">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注：1、投标单位报价不得高于单项及总的最高投标限价，也不得高于最</w:t>
            </w:r>
          </w:p>
          <w:p w14:paraId="191DBC2A">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高投标比率。结算时按实际发生的金额×中标比率结算。</w:t>
            </w:r>
          </w:p>
          <w:p w14:paraId="24C85586">
            <w:pPr>
              <w:spacing w:line="240" w:lineRule="auto"/>
              <w:jc w:val="left"/>
              <w:rPr>
                <w:rFonts w:hint="eastAsia" w:ascii="宋体" w:hAnsi="宋体" w:cs="宋体"/>
                <w:kern w:val="0"/>
                <w:szCs w:val="21"/>
                <w:highlight w:val="none"/>
                <w:lang w:bidi="ar"/>
              </w:rPr>
            </w:pPr>
            <w:r>
              <w:rPr>
                <w:rFonts w:hint="eastAsia" w:ascii="宋体" w:hAnsi="宋体" w:cs="宋体"/>
                <w:color w:val="000000"/>
                <w:szCs w:val="21"/>
                <w:highlight w:val="none"/>
              </w:rPr>
              <w:t>2、本项目合同采用固定比率形式，中标的相关服务费比率固定不变。</w:t>
            </w:r>
          </w:p>
        </w:tc>
      </w:tr>
      <w:tr w14:paraId="42F8D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0C2396B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3.3.1</w:t>
            </w:r>
          </w:p>
        </w:tc>
        <w:tc>
          <w:tcPr>
            <w:tcW w:w="1498" w:type="dxa"/>
          </w:tcPr>
          <w:p w14:paraId="4C5AAE7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7186" w:type="dxa"/>
          </w:tcPr>
          <w:p w14:paraId="4DE41B5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投标截止日期起90天</w:t>
            </w:r>
          </w:p>
        </w:tc>
      </w:tr>
      <w:tr w14:paraId="0E69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tcPr>
          <w:p w14:paraId="5F732AD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3.4.1</w:t>
            </w:r>
          </w:p>
        </w:tc>
        <w:tc>
          <w:tcPr>
            <w:tcW w:w="1498" w:type="dxa"/>
          </w:tcPr>
          <w:p w14:paraId="603F97C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投标保证金</w:t>
            </w:r>
          </w:p>
        </w:tc>
        <w:tc>
          <w:tcPr>
            <w:tcW w:w="7186" w:type="dxa"/>
          </w:tcPr>
          <w:p w14:paraId="7B2DA37D">
            <w:pPr>
              <w:spacing w:line="240" w:lineRule="auto"/>
              <w:jc w:val="left"/>
              <w:rPr>
                <w:rFonts w:hint="eastAsia" w:ascii="宋体" w:hAnsi="宋体" w:eastAsia="宋体" w:cs="宋体"/>
                <w:highlight w:val="none"/>
                <w:lang w:eastAsia="zh-CN"/>
              </w:rPr>
            </w:pPr>
            <w:r>
              <w:rPr>
                <w:rFonts w:hint="eastAsia" w:ascii="宋体" w:hAnsi="宋体" w:cs="宋体"/>
                <w:highlight w:val="none"/>
              </w:rPr>
              <w:t>开标前由投标单位向招标人交纳投标保证：</w:t>
            </w:r>
            <w:r>
              <w:rPr>
                <w:rFonts w:hint="eastAsia" w:ascii="宋体" w:hAnsi="宋体" w:cs="宋体"/>
                <w:b/>
                <w:bCs/>
                <w:highlight w:val="none"/>
                <w:lang w:val="en-US" w:eastAsia="zh-CN"/>
              </w:rPr>
              <w:t>伍</w:t>
            </w:r>
            <w:r>
              <w:rPr>
                <w:rFonts w:hint="eastAsia" w:ascii="宋体" w:hAnsi="宋体" w:cs="宋体"/>
                <w:b/>
                <w:bCs/>
                <w:highlight w:val="none"/>
              </w:rPr>
              <w:t>仟元整</w:t>
            </w:r>
            <w:r>
              <w:rPr>
                <w:rFonts w:hint="eastAsia" w:ascii="宋体" w:hAnsi="宋体" w:cs="宋体"/>
                <w:b/>
                <w:bCs/>
                <w:highlight w:val="none"/>
                <w:lang w:eastAsia="zh-CN"/>
              </w:rPr>
              <w:t>；</w:t>
            </w:r>
          </w:p>
          <w:p w14:paraId="7DE496F6">
            <w:pPr>
              <w:spacing w:line="240" w:lineRule="auto"/>
              <w:jc w:val="left"/>
              <w:rPr>
                <w:rFonts w:hint="eastAsia" w:ascii="宋体" w:hAnsi="宋体" w:cs="宋体"/>
                <w:highlight w:val="none"/>
              </w:rPr>
            </w:pPr>
            <w:r>
              <w:rPr>
                <w:rFonts w:hint="eastAsia" w:ascii="宋体" w:hAnsi="宋体" w:cs="宋体"/>
                <w:highlight w:val="none"/>
                <w:lang w:val="en-US" w:eastAsia="zh-CN"/>
              </w:rPr>
              <w:t>交纳形式：</w:t>
            </w:r>
            <w:r>
              <w:rPr>
                <w:rFonts w:hint="eastAsia" w:ascii="宋体" w:hAnsi="宋体" w:cs="宋体"/>
                <w:b/>
                <w:bCs/>
                <w:highlight w:val="none"/>
                <w:lang w:val="en-US" w:eastAsia="zh-CN"/>
              </w:rPr>
              <w:t>转至指定账户（不接受其他形式的投标保证金）。</w:t>
            </w:r>
          </w:p>
        </w:tc>
      </w:tr>
      <w:tr w14:paraId="7984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10468E7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3.6</w:t>
            </w:r>
          </w:p>
        </w:tc>
        <w:tc>
          <w:tcPr>
            <w:tcW w:w="1498" w:type="dxa"/>
          </w:tcPr>
          <w:p w14:paraId="7DD4F6DF">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是否允许递交备选投标方案</w:t>
            </w:r>
          </w:p>
        </w:tc>
        <w:tc>
          <w:tcPr>
            <w:tcW w:w="7186" w:type="dxa"/>
          </w:tcPr>
          <w:p w14:paraId="6E0FC251">
            <w:pPr>
              <w:spacing w:line="240" w:lineRule="auto"/>
              <w:jc w:val="left"/>
              <w:rPr>
                <w:rFonts w:hint="eastAsia" w:ascii="宋体" w:hAnsi="宋体" w:cs="宋体"/>
                <w:szCs w:val="21"/>
                <w:highlight w:val="none"/>
              </w:rPr>
            </w:pPr>
            <w:r>
              <w:rPr>
                <w:rFonts w:hint="eastAsia" w:ascii="宋体" w:hAnsi="宋体" w:cs="宋体"/>
                <w:highlight w:val="none"/>
              </w:rPr>
              <w:t xml:space="preserve">☑ </w:t>
            </w:r>
            <w:r>
              <w:rPr>
                <w:rFonts w:hint="eastAsia" w:ascii="宋体" w:hAnsi="宋体" w:cs="宋体"/>
                <w:szCs w:val="21"/>
                <w:highlight w:val="none"/>
              </w:rPr>
              <w:t>不允许递交</w:t>
            </w:r>
          </w:p>
          <w:p w14:paraId="6D9EA09F">
            <w:pPr>
              <w:spacing w:line="240" w:lineRule="auto"/>
              <w:jc w:val="left"/>
              <w:rPr>
                <w:rFonts w:hint="eastAsia" w:ascii="宋体" w:hAnsi="宋体" w:cs="宋体"/>
                <w:szCs w:val="21"/>
                <w:highlight w:val="none"/>
              </w:rPr>
            </w:pPr>
            <w:r>
              <w:rPr>
                <w:rFonts w:hint="eastAsia" w:ascii="宋体" w:hAnsi="宋体" w:cs="宋体"/>
                <w:szCs w:val="21"/>
                <w:highlight w:val="none"/>
              </w:rPr>
              <w:t>□允许递交</w:t>
            </w:r>
          </w:p>
        </w:tc>
      </w:tr>
      <w:tr w14:paraId="21950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7CE098DA">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3.7.1</w:t>
            </w:r>
          </w:p>
        </w:tc>
        <w:tc>
          <w:tcPr>
            <w:tcW w:w="1498" w:type="dxa"/>
            <w:vAlign w:val="center"/>
          </w:tcPr>
          <w:p w14:paraId="4F54E9B1">
            <w:pPr>
              <w:spacing w:line="240" w:lineRule="auto"/>
              <w:rPr>
                <w:rFonts w:hint="eastAsia" w:ascii="宋体" w:hAnsi="宋体" w:cs="宋体"/>
                <w:sz w:val="21"/>
                <w:szCs w:val="21"/>
                <w:highlight w:val="none"/>
              </w:rPr>
            </w:pPr>
            <w:r>
              <w:rPr>
                <w:rFonts w:hint="eastAsia" w:ascii="宋体" w:hAnsi="宋体"/>
                <w:color w:val="000000"/>
                <w:sz w:val="21"/>
                <w:szCs w:val="21"/>
                <w:highlight w:val="none"/>
              </w:rPr>
              <w:t>投标文件份数</w:t>
            </w:r>
          </w:p>
        </w:tc>
        <w:tc>
          <w:tcPr>
            <w:tcW w:w="7186" w:type="dxa"/>
            <w:vAlign w:val="center"/>
          </w:tcPr>
          <w:p w14:paraId="4384E4EB">
            <w:pPr>
              <w:spacing w:line="240" w:lineRule="auto"/>
              <w:rPr>
                <w:rFonts w:hint="eastAsia" w:ascii="宋体" w:hAnsi="宋体"/>
                <w:b/>
                <w:bCs/>
                <w:color w:val="FF0000"/>
                <w:sz w:val="21"/>
                <w:szCs w:val="21"/>
                <w:highlight w:val="none"/>
                <w:lang w:eastAsia="zh-CN"/>
              </w:rPr>
            </w:pPr>
            <w:r>
              <w:rPr>
                <w:rFonts w:hint="eastAsia" w:ascii="宋体" w:hAnsi="宋体"/>
                <w:b/>
                <w:bCs/>
                <w:color w:val="FF0000"/>
                <w:sz w:val="21"/>
                <w:szCs w:val="21"/>
                <w:highlight w:val="none"/>
              </w:rPr>
              <w:t>投标文件商务部分</w:t>
            </w:r>
            <w:r>
              <w:rPr>
                <w:rFonts w:hint="eastAsia" w:ascii="宋体" w:hAnsi="宋体"/>
                <w:b/>
                <w:bCs/>
                <w:color w:val="FF0000"/>
                <w:sz w:val="21"/>
                <w:szCs w:val="21"/>
                <w:highlight w:val="none"/>
                <w:lang w:val="en-US" w:eastAsia="zh-CN"/>
              </w:rPr>
              <w:t>单独</w:t>
            </w:r>
            <w:r>
              <w:rPr>
                <w:rFonts w:hint="eastAsia" w:ascii="宋体" w:hAnsi="宋体"/>
                <w:b/>
                <w:bCs/>
                <w:color w:val="FF0000"/>
                <w:sz w:val="21"/>
                <w:szCs w:val="21"/>
                <w:highlight w:val="none"/>
              </w:rPr>
              <w:t>装订成一册，壹正，肆副，密封在一个档案袋中。技术部分单独装订成一册，壹正，肆副，密封在一个档案袋中</w:t>
            </w:r>
            <w:r>
              <w:rPr>
                <w:rFonts w:hint="eastAsia" w:ascii="宋体" w:hAnsi="宋体"/>
                <w:b/>
                <w:bCs/>
                <w:color w:val="FF0000"/>
                <w:sz w:val="21"/>
                <w:szCs w:val="21"/>
                <w:highlight w:val="none"/>
                <w:lang w:eastAsia="zh-CN"/>
              </w:rPr>
              <w:t>。</w:t>
            </w:r>
          </w:p>
          <w:p w14:paraId="5D7B4E25">
            <w:pPr>
              <w:spacing w:line="240" w:lineRule="auto"/>
              <w:rPr>
                <w:rFonts w:hint="eastAsia" w:ascii="宋体" w:hAnsi="宋体" w:cs="宋体"/>
                <w:sz w:val="21"/>
                <w:szCs w:val="21"/>
                <w:highlight w:val="none"/>
              </w:rPr>
            </w:pPr>
            <w:r>
              <w:rPr>
                <w:rFonts w:hint="eastAsia" w:ascii="宋体" w:hAnsi="宋体"/>
                <w:b/>
                <w:bCs/>
                <w:color w:val="FF0000"/>
                <w:sz w:val="21"/>
                <w:szCs w:val="21"/>
                <w:highlight w:val="none"/>
              </w:rPr>
              <w:t>共二个档案袋。封面统一用白色封面。</w:t>
            </w:r>
          </w:p>
        </w:tc>
      </w:tr>
      <w:tr w14:paraId="1293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CE01783">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3.7.3</w:t>
            </w:r>
          </w:p>
        </w:tc>
        <w:tc>
          <w:tcPr>
            <w:tcW w:w="1498" w:type="dxa"/>
            <w:vAlign w:val="center"/>
          </w:tcPr>
          <w:p w14:paraId="6BF2FA2B">
            <w:pPr>
              <w:spacing w:line="240" w:lineRule="auto"/>
              <w:rPr>
                <w:rFonts w:hint="eastAsia" w:ascii="宋体" w:hAnsi="宋体" w:cs="宋体"/>
                <w:sz w:val="21"/>
                <w:szCs w:val="21"/>
                <w:highlight w:val="none"/>
              </w:rPr>
            </w:pPr>
            <w:r>
              <w:rPr>
                <w:rFonts w:hint="eastAsia" w:ascii="宋体" w:hAnsi="宋体"/>
                <w:color w:val="0000FF"/>
                <w:sz w:val="21"/>
                <w:szCs w:val="21"/>
                <w:highlight w:val="none"/>
              </w:rPr>
              <w:t>装订要求</w:t>
            </w:r>
          </w:p>
        </w:tc>
        <w:tc>
          <w:tcPr>
            <w:tcW w:w="7186" w:type="dxa"/>
            <w:vAlign w:val="center"/>
          </w:tcPr>
          <w:p w14:paraId="554F0E8B">
            <w:pPr>
              <w:spacing w:line="240" w:lineRule="auto"/>
              <w:jc w:val="both"/>
              <w:rPr>
                <w:rFonts w:hint="eastAsia" w:ascii="宋体" w:hAnsi="宋体"/>
                <w:color w:val="000000"/>
                <w:sz w:val="21"/>
                <w:szCs w:val="21"/>
                <w:highlight w:val="none"/>
              </w:rPr>
            </w:pPr>
            <w:r>
              <w:rPr>
                <w:rFonts w:hint="eastAsia" w:ascii="宋体" w:hAnsi="宋体"/>
                <w:color w:val="000000"/>
                <w:sz w:val="21"/>
                <w:szCs w:val="21"/>
                <w:highlight w:val="none"/>
              </w:rPr>
              <w:t>投标文件应按以下要求装订：</w:t>
            </w:r>
          </w:p>
          <w:p w14:paraId="0DB11697">
            <w:pPr>
              <w:spacing w:line="240" w:lineRule="auto"/>
              <w:jc w:val="both"/>
              <w:rPr>
                <w:rFonts w:hint="eastAsia" w:ascii="宋体" w:hAnsi="宋体"/>
                <w:color w:val="000000"/>
                <w:sz w:val="21"/>
                <w:szCs w:val="21"/>
                <w:highlight w:val="none"/>
              </w:rPr>
            </w:pPr>
            <w:r>
              <w:rPr>
                <w:rFonts w:hint="eastAsia" w:ascii="宋体" w:hAnsi="宋体"/>
                <w:color w:val="000000"/>
                <w:sz w:val="21"/>
                <w:szCs w:val="21"/>
                <w:highlight w:val="none"/>
              </w:rPr>
              <w:t>1、采用</w:t>
            </w:r>
            <w:r>
              <w:rPr>
                <w:rFonts w:hint="eastAsia" w:ascii="宋体" w:hAnsi="宋体"/>
                <w:b/>
                <w:color w:val="000000"/>
                <w:sz w:val="21"/>
                <w:szCs w:val="21"/>
                <w:highlight w:val="none"/>
                <w:u w:val="single"/>
              </w:rPr>
              <w:t>粘贴</w:t>
            </w:r>
            <w:r>
              <w:rPr>
                <w:rFonts w:hint="eastAsia" w:ascii="宋体" w:hAnsi="宋体"/>
                <w:color w:val="000000"/>
                <w:sz w:val="21"/>
                <w:szCs w:val="21"/>
                <w:highlight w:val="none"/>
              </w:rPr>
              <w:t>方式装订，装订应牢固、不易拆散和换页，不得采用活页装订。</w:t>
            </w:r>
          </w:p>
          <w:p w14:paraId="0994A0C4">
            <w:pPr>
              <w:spacing w:line="240" w:lineRule="auto"/>
              <w:jc w:val="both"/>
              <w:rPr>
                <w:rFonts w:hint="eastAsia" w:ascii="宋体" w:hAnsi="宋体" w:cs="宋体"/>
                <w:sz w:val="21"/>
                <w:szCs w:val="21"/>
                <w:highlight w:val="none"/>
              </w:rPr>
            </w:pPr>
            <w:r>
              <w:rPr>
                <w:rFonts w:hint="eastAsia" w:ascii="宋体" w:hAnsi="宋体"/>
                <w:color w:val="000000"/>
                <w:sz w:val="21"/>
                <w:szCs w:val="21"/>
                <w:highlight w:val="none"/>
              </w:rPr>
              <w:t>2、其他要求：无</w:t>
            </w:r>
          </w:p>
        </w:tc>
      </w:tr>
      <w:tr w14:paraId="656FF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3945FB2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3.8</w:t>
            </w:r>
          </w:p>
        </w:tc>
        <w:tc>
          <w:tcPr>
            <w:tcW w:w="1498" w:type="dxa"/>
          </w:tcPr>
          <w:p w14:paraId="4CC10DD0">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全过程工程咨询服务</w:t>
            </w:r>
            <w:r>
              <w:rPr>
                <w:rFonts w:hint="eastAsia" w:ascii="宋体" w:hAnsi="宋体" w:cs="宋体"/>
                <w:snapToGrid w:val="0"/>
                <w:kern w:val="0"/>
                <w:szCs w:val="21"/>
                <w:highlight w:val="none"/>
              </w:rPr>
              <w:t>实施方案暗标</w:t>
            </w:r>
            <w:r>
              <w:rPr>
                <w:rFonts w:hint="eastAsia" w:ascii="宋体" w:hAnsi="宋体" w:cs="宋体"/>
                <w:kern w:val="0"/>
                <w:szCs w:val="21"/>
                <w:highlight w:val="none"/>
              </w:rPr>
              <w:t>编制要求</w:t>
            </w:r>
          </w:p>
        </w:tc>
        <w:tc>
          <w:tcPr>
            <w:tcW w:w="7186" w:type="dxa"/>
            <w:vAlign w:val="center"/>
          </w:tcPr>
          <w:p w14:paraId="253BCE10">
            <w:pPr>
              <w:spacing w:line="240" w:lineRule="auto"/>
              <w:jc w:val="both"/>
              <w:rPr>
                <w:highlight w:val="none"/>
              </w:rPr>
            </w:pPr>
            <w:r>
              <w:rPr>
                <w:rFonts w:hint="eastAsia"/>
                <w:highlight w:val="none"/>
              </w:rPr>
              <w:t>是， 技术标（全过程工程咨询服务实施方案）采用暗标评审。技术标（咨</w:t>
            </w:r>
          </w:p>
          <w:p w14:paraId="025D0C11">
            <w:pPr>
              <w:spacing w:line="240" w:lineRule="auto"/>
              <w:jc w:val="both"/>
              <w:rPr>
                <w:highlight w:val="none"/>
              </w:rPr>
            </w:pPr>
            <w:r>
              <w:rPr>
                <w:rFonts w:hint="eastAsia"/>
                <w:highlight w:val="none"/>
              </w:rPr>
              <w:t>询服务实施方案）中不得出现投标人名称、人员姓名，不得出现能显示</w:t>
            </w:r>
          </w:p>
          <w:p w14:paraId="21661CEA">
            <w:pPr>
              <w:spacing w:line="240" w:lineRule="auto"/>
              <w:jc w:val="both"/>
              <w:rPr>
                <w:rFonts w:hint="eastAsia" w:ascii="宋体" w:hAnsi="宋体" w:cs="宋体"/>
                <w:szCs w:val="21"/>
                <w:highlight w:val="none"/>
              </w:rPr>
            </w:pPr>
            <w:r>
              <w:rPr>
                <w:rFonts w:hint="eastAsia"/>
                <w:highlight w:val="none"/>
              </w:rPr>
              <w:t>企业特征或其它提示性的标记或标识。</w:t>
            </w:r>
          </w:p>
        </w:tc>
      </w:tr>
      <w:tr w14:paraId="5918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959" w:type="dxa"/>
            <w:vAlign w:val="center"/>
          </w:tcPr>
          <w:p w14:paraId="13412D06">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4.1.2</w:t>
            </w:r>
          </w:p>
        </w:tc>
        <w:tc>
          <w:tcPr>
            <w:tcW w:w="1498" w:type="dxa"/>
            <w:vAlign w:val="center"/>
          </w:tcPr>
          <w:p w14:paraId="4668F008">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封套上写明</w:t>
            </w:r>
          </w:p>
        </w:tc>
        <w:tc>
          <w:tcPr>
            <w:tcW w:w="7186" w:type="dxa"/>
            <w:vAlign w:val="center"/>
          </w:tcPr>
          <w:p w14:paraId="09D323B4">
            <w:pPr>
              <w:spacing w:line="240" w:lineRule="auto"/>
              <w:jc w:val="both"/>
              <w:rPr>
                <w:rFonts w:hint="eastAsia" w:ascii="宋体" w:hAnsi="宋体" w:cs="宋体"/>
                <w:szCs w:val="21"/>
                <w:highlight w:val="none"/>
              </w:rPr>
            </w:pPr>
            <w:r>
              <w:rPr>
                <w:rFonts w:hint="eastAsia" w:ascii="宋体" w:hAnsi="宋体" w:cs="宋体"/>
                <w:szCs w:val="21"/>
                <w:highlight w:val="none"/>
              </w:rPr>
              <w:t>招标人的地址：</w:t>
            </w:r>
            <w:r>
              <w:rPr>
                <w:rFonts w:hint="eastAsia" w:ascii="宋体" w:hAnsi="宋体" w:cs="宋体"/>
                <w:szCs w:val="21"/>
                <w:highlight w:val="none"/>
                <w:u w:val="single"/>
                <w:lang w:val="en-US" w:eastAsia="zh-CN"/>
              </w:rPr>
              <w:t>宜兴市</w:t>
            </w:r>
          </w:p>
          <w:p w14:paraId="1D6B960F">
            <w:pPr>
              <w:spacing w:line="240" w:lineRule="auto"/>
              <w:jc w:val="both"/>
              <w:rPr>
                <w:rFonts w:hint="eastAsia" w:ascii="宋体" w:hAnsi="宋体" w:cs="宋体"/>
                <w:szCs w:val="21"/>
                <w:highlight w:val="none"/>
                <w:lang w:eastAsia="zh-CN"/>
              </w:rPr>
            </w:pPr>
            <w:r>
              <w:rPr>
                <w:rFonts w:hint="eastAsia" w:ascii="宋体" w:hAnsi="宋体" w:cs="宋体"/>
                <w:szCs w:val="21"/>
                <w:highlight w:val="none"/>
              </w:rPr>
              <w:t>招标人名称：</w:t>
            </w:r>
            <w:r>
              <w:rPr>
                <w:rFonts w:hint="eastAsia" w:ascii="宋体" w:hAnsi="宋体" w:cs="宋体"/>
                <w:szCs w:val="21"/>
                <w:highlight w:val="none"/>
                <w:u w:val="single"/>
                <w:lang w:eastAsia="zh-CN"/>
              </w:rPr>
              <w:t>宜兴市环保集团有限公司</w:t>
            </w:r>
          </w:p>
          <w:p w14:paraId="61F7ED4A">
            <w:pPr>
              <w:spacing w:line="240" w:lineRule="auto"/>
              <w:jc w:val="both"/>
              <w:rPr>
                <w:rFonts w:hint="eastAsia" w:ascii="宋体" w:hAnsi="宋体" w:cs="宋体"/>
                <w:szCs w:val="21"/>
                <w:highlight w:val="none"/>
              </w:rPr>
            </w:pPr>
            <w:r>
              <w:rPr>
                <w:rFonts w:hint="eastAsia" w:ascii="宋体" w:hAnsi="宋体" w:cs="宋体"/>
                <w:szCs w:val="21"/>
                <w:highlight w:val="none"/>
                <w:u w:val="single"/>
                <w:lang w:eastAsia="zh-CN"/>
              </w:rPr>
              <w:t>宜兴市东氿水下森林项目工程全过程工程咨询服务</w:t>
            </w:r>
            <w:r>
              <w:rPr>
                <w:rFonts w:hint="eastAsia" w:ascii="宋体" w:hAnsi="宋体" w:cs="宋体"/>
                <w:szCs w:val="21"/>
                <w:highlight w:val="none"/>
              </w:rPr>
              <w:t>投标文件</w:t>
            </w:r>
          </w:p>
          <w:p w14:paraId="1D728672">
            <w:pPr>
              <w:spacing w:line="240" w:lineRule="auto"/>
              <w:jc w:val="both"/>
              <w:rPr>
                <w:rFonts w:hint="eastAsia" w:ascii="宋体" w:hAnsi="宋体" w:cs="宋体"/>
                <w:szCs w:val="21"/>
                <w:highlight w:val="none"/>
              </w:rPr>
            </w:pPr>
            <w:r>
              <w:rPr>
                <w:rFonts w:hint="eastAsia" w:ascii="宋体" w:hAnsi="宋体" w:cs="宋体"/>
                <w:szCs w:val="21"/>
                <w:highlight w:val="none"/>
              </w:rPr>
              <w:t>在</w:t>
            </w:r>
            <w:r>
              <w:rPr>
                <w:rFonts w:hint="eastAsia" w:ascii="宋体" w:hAnsi="宋体" w:cs="宋体"/>
                <w:szCs w:val="21"/>
                <w:highlight w:val="none"/>
              </w:rPr>
              <w:t>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lang w:val="en-US" w:eastAsia="zh-CN"/>
              </w:rPr>
              <w:t>2</w:t>
            </w:r>
            <w:r>
              <w:rPr>
                <w:rFonts w:hint="eastAsia" w:ascii="宋体" w:hAnsi="宋体" w:cs="宋体"/>
                <w:szCs w:val="21"/>
                <w:highlight w:val="none"/>
              </w:rPr>
              <w:t>月</w:t>
            </w:r>
            <w:r>
              <w:rPr>
                <w:rFonts w:hint="eastAsia" w:ascii="宋体" w:hAnsi="宋体" w:cs="宋体"/>
                <w:szCs w:val="21"/>
                <w:highlight w:val="none"/>
                <w:lang w:val="en-US" w:eastAsia="zh-CN"/>
              </w:rPr>
              <w:t>17</w:t>
            </w:r>
            <w:r>
              <w:rPr>
                <w:rFonts w:hint="eastAsia" w:ascii="宋体" w:hAnsi="宋体" w:cs="宋体"/>
                <w:szCs w:val="21"/>
                <w:highlight w:val="none"/>
              </w:rPr>
              <w:t>日</w:t>
            </w:r>
            <w:r>
              <w:rPr>
                <w:rFonts w:hint="eastAsia" w:ascii="宋体" w:hAnsi="宋体" w:cs="宋体"/>
                <w:szCs w:val="21"/>
                <w:highlight w:val="none"/>
                <w:lang w:val="en-US" w:eastAsia="zh-CN"/>
              </w:rPr>
              <w:t>14</w:t>
            </w:r>
            <w:r>
              <w:rPr>
                <w:rFonts w:hint="eastAsia" w:ascii="宋体" w:hAnsi="宋体" w:cs="宋体"/>
                <w:szCs w:val="21"/>
                <w:highlight w:val="none"/>
              </w:rPr>
              <w:t>时</w:t>
            </w:r>
            <w:r>
              <w:rPr>
                <w:rFonts w:hint="eastAsia" w:ascii="宋体" w:hAnsi="宋体" w:cs="宋体"/>
                <w:szCs w:val="21"/>
                <w:highlight w:val="none"/>
                <w:lang w:val="en-US" w:eastAsia="zh-CN"/>
              </w:rPr>
              <w:t>00</w:t>
            </w:r>
            <w:r>
              <w:rPr>
                <w:rFonts w:hint="eastAsia" w:ascii="宋体" w:hAnsi="宋体" w:cs="宋体"/>
                <w:szCs w:val="21"/>
                <w:highlight w:val="none"/>
              </w:rPr>
              <w:t>分</w:t>
            </w:r>
            <w:r>
              <w:rPr>
                <w:rFonts w:hint="eastAsia" w:ascii="宋体" w:hAnsi="宋体" w:cs="宋体"/>
                <w:szCs w:val="21"/>
                <w:highlight w:val="none"/>
              </w:rPr>
              <w:t>前不得开启</w:t>
            </w:r>
          </w:p>
        </w:tc>
      </w:tr>
      <w:tr w14:paraId="6EAC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959" w:type="dxa"/>
          </w:tcPr>
          <w:p w14:paraId="20D641C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4.2.2</w:t>
            </w:r>
          </w:p>
        </w:tc>
        <w:tc>
          <w:tcPr>
            <w:tcW w:w="1498" w:type="dxa"/>
          </w:tcPr>
          <w:p w14:paraId="56A68FF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递交投标文件地点</w:t>
            </w:r>
          </w:p>
        </w:tc>
        <w:tc>
          <w:tcPr>
            <w:tcW w:w="7186" w:type="dxa"/>
            <w:vAlign w:val="center"/>
          </w:tcPr>
          <w:p w14:paraId="4EECD4CF">
            <w:pPr>
              <w:spacing w:line="240" w:lineRule="auto"/>
              <w:jc w:val="both"/>
              <w:rPr>
                <w:rFonts w:hint="eastAsia" w:ascii="宋体" w:hAnsi="宋体" w:cs="宋体"/>
                <w:snapToGrid w:val="0"/>
                <w:kern w:val="0"/>
                <w:szCs w:val="21"/>
                <w:highlight w:val="none"/>
              </w:rPr>
            </w:pPr>
            <w:r>
              <w:rPr>
                <w:rFonts w:hint="eastAsia" w:ascii="宋体" w:hAnsi="宋体" w:cs="宋体"/>
                <w:szCs w:val="21"/>
                <w:highlight w:val="none"/>
                <w:lang w:eastAsia="zh-CN"/>
              </w:rPr>
              <w:t>宜兴市公用环保集团有限公司二楼开标室（宜兴市环科园绿园路528号孵化园）</w:t>
            </w:r>
          </w:p>
        </w:tc>
      </w:tr>
      <w:tr w14:paraId="4F95B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959" w:type="dxa"/>
          </w:tcPr>
          <w:p w14:paraId="7C4948E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5.1</w:t>
            </w:r>
          </w:p>
        </w:tc>
        <w:tc>
          <w:tcPr>
            <w:tcW w:w="1498" w:type="dxa"/>
          </w:tcPr>
          <w:p w14:paraId="227DB53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开标时间和地点</w:t>
            </w:r>
            <w:r>
              <w:rPr>
                <w:rFonts w:hint="eastAsia" w:ascii="宋体" w:hAnsi="宋体" w:cs="宋体"/>
                <w:szCs w:val="21"/>
                <w:highlight w:val="none"/>
              </w:rPr>
              <w:t>和人员</w:t>
            </w:r>
          </w:p>
        </w:tc>
        <w:tc>
          <w:tcPr>
            <w:tcW w:w="7186" w:type="dxa"/>
            <w:vAlign w:val="center"/>
          </w:tcPr>
          <w:p w14:paraId="1A08684B">
            <w:pPr>
              <w:spacing w:line="240" w:lineRule="auto"/>
              <w:jc w:val="both"/>
              <w:rPr>
                <w:rFonts w:hint="eastAsia" w:ascii="宋体" w:hAnsi="宋体" w:cs="宋体"/>
                <w:szCs w:val="21"/>
                <w:highlight w:val="none"/>
                <w:lang w:val="en-US" w:eastAsia="zh-CN"/>
              </w:rPr>
            </w:pPr>
            <w:r>
              <w:rPr>
                <w:rFonts w:hint="eastAsia" w:ascii="宋体" w:hAnsi="宋体" w:cs="宋体"/>
                <w:szCs w:val="21"/>
                <w:highlight w:val="none"/>
              </w:rPr>
              <w:t>开标时间：</w:t>
            </w:r>
            <w:r>
              <w:rPr>
                <w:rFonts w:hint="eastAsia" w:ascii="宋体" w:hAnsi="宋体" w:cs="宋体"/>
                <w:szCs w:val="21"/>
                <w:highlight w:val="none"/>
                <w:lang w:val="en-US" w:eastAsia="zh-CN"/>
              </w:rPr>
              <w:t>同投标截止时间</w:t>
            </w:r>
          </w:p>
          <w:p w14:paraId="4AE08F68">
            <w:pPr>
              <w:spacing w:line="240" w:lineRule="auto"/>
              <w:jc w:val="both"/>
              <w:rPr>
                <w:rFonts w:hint="default" w:ascii="宋体" w:hAnsi="宋体" w:cs="宋体"/>
                <w:szCs w:val="21"/>
                <w:highlight w:val="none"/>
                <w:lang w:val="en-US" w:eastAsia="zh-CN"/>
              </w:rPr>
            </w:pPr>
            <w:r>
              <w:rPr>
                <w:rFonts w:hint="eastAsia" w:ascii="宋体" w:hAnsi="宋体" w:cs="宋体"/>
                <w:szCs w:val="21"/>
                <w:highlight w:val="none"/>
                <w:lang w:val="en-US" w:eastAsia="zh-CN"/>
              </w:rPr>
              <w:t>开标地点：同递交投标文件地点</w:t>
            </w:r>
          </w:p>
        </w:tc>
      </w:tr>
      <w:tr w14:paraId="71FA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DFEE154">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5.2.1</w:t>
            </w:r>
          </w:p>
        </w:tc>
        <w:tc>
          <w:tcPr>
            <w:tcW w:w="1498" w:type="dxa"/>
            <w:vAlign w:val="center"/>
          </w:tcPr>
          <w:p w14:paraId="761721D0">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开评标程序</w:t>
            </w:r>
          </w:p>
        </w:tc>
        <w:tc>
          <w:tcPr>
            <w:tcW w:w="7186" w:type="dxa"/>
            <w:vAlign w:val="center"/>
          </w:tcPr>
          <w:p w14:paraId="7D731441">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(l）宣布开标会议开始；</w:t>
            </w:r>
          </w:p>
          <w:p w14:paraId="2C5121B8">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(2）介绍出席开标会议相关人员；</w:t>
            </w:r>
          </w:p>
          <w:p w14:paraId="592DD32B">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(3）宣布开标纪律；</w:t>
            </w:r>
          </w:p>
          <w:p w14:paraId="5B2AFEE2">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(4）公布在投标截止时间前递交投标文件的投标人名称；</w:t>
            </w:r>
          </w:p>
          <w:p w14:paraId="4A072656">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(5）检查投标人到位人员情况和符合性审查和资格审查要求提供的原件资料情况；</w:t>
            </w:r>
          </w:p>
          <w:p w14:paraId="70FFCC22">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(6）按照投标人须知前附表规定检查投标文件的密封情况；</w:t>
            </w:r>
          </w:p>
          <w:p w14:paraId="706D9F8E">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(7）随机抽取评标办法相关数值，该抽签结果不随后续评审或投诉等情况而变化；（若有）</w:t>
            </w:r>
          </w:p>
          <w:p w14:paraId="356E6789">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(8）宣布开标人、唱标人、记录人、监标人等有关人员姓名；</w:t>
            </w:r>
          </w:p>
          <w:p w14:paraId="70BD9CEC">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(9）按照投标人须知前附表的规定确定并宣布投标文件开标顺序；</w:t>
            </w:r>
          </w:p>
          <w:p w14:paraId="04CF20FD">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(10）按照宣布的开标顺序当众开标，公布投标人名称、标段名称、投标报价、质量目标、工期、投标项目经理及其他内容，并记录在案；</w:t>
            </w:r>
          </w:p>
          <w:p w14:paraId="6F44C7EC">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(11）投标人代表、招标人代表、监标人、记录人等有关人员在开标记录上签字确认；</w:t>
            </w:r>
          </w:p>
          <w:p w14:paraId="39AFFAE4">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(12）投标人提交资格评审</w:t>
            </w:r>
            <w:r>
              <w:rPr>
                <w:rFonts w:hint="eastAsia" w:ascii="宋体" w:hAnsi="宋体" w:cs="宋体"/>
                <w:szCs w:val="21"/>
                <w:highlight w:val="none"/>
                <w:lang w:val="en-US" w:eastAsia="zh-CN"/>
              </w:rPr>
              <w:t>等所需的相关</w:t>
            </w:r>
            <w:r>
              <w:rPr>
                <w:rFonts w:hint="eastAsia" w:ascii="宋体" w:hAnsi="宋体" w:cs="宋体"/>
                <w:szCs w:val="21"/>
                <w:highlight w:val="none"/>
              </w:rPr>
              <w:t>资料；</w:t>
            </w:r>
          </w:p>
          <w:p w14:paraId="75202E71">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(13）开标结束。</w:t>
            </w:r>
          </w:p>
        </w:tc>
      </w:tr>
      <w:tr w14:paraId="68559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4AEC642">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6.1.1</w:t>
            </w:r>
          </w:p>
        </w:tc>
        <w:tc>
          <w:tcPr>
            <w:tcW w:w="1498" w:type="dxa"/>
            <w:vAlign w:val="center"/>
          </w:tcPr>
          <w:p w14:paraId="2FF8AB84">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评标委员会的组建</w:t>
            </w:r>
          </w:p>
        </w:tc>
        <w:tc>
          <w:tcPr>
            <w:tcW w:w="7186" w:type="dxa"/>
            <w:vAlign w:val="center"/>
          </w:tcPr>
          <w:p w14:paraId="71D8C31D">
            <w:pPr>
              <w:tabs>
                <w:tab w:val="left" w:pos="940"/>
                <w:tab w:val="left" w:pos="2400"/>
              </w:tabs>
              <w:autoSpaceDE w:val="0"/>
              <w:autoSpaceDN w:val="0"/>
              <w:adjustRightInd w:val="0"/>
              <w:spacing w:before="63" w:line="240" w:lineRule="auto"/>
              <w:ind w:left="310" w:leftChars="48" w:right="129" w:hanging="210" w:hangingChars="100"/>
              <w:jc w:val="left"/>
              <w:rPr>
                <w:rFonts w:hint="eastAsia" w:ascii="宋体" w:hAnsi="宋体" w:cs="宋体"/>
                <w:szCs w:val="21"/>
                <w:highlight w:val="none"/>
              </w:rPr>
            </w:pPr>
            <w:r>
              <w:rPr>
                <w:rFonts w:hint="eastAsia" w:ascii="宋体" w:hAnsi="宋体" w:cs="宋体"/>
                <w:szCs w:val="21"/>
                <w:highlight w:val="none"/>
              </w:rPr>
              <w:t>评标委员会构成：</w:t>
            </w:r>
            <w:r>
              <w:rPr>
                <w:rFonts w:hint="eastAsia" w:ascii="宋体" w:hAnsi="宋体" w:cs="宋体"/>
                <w:spacing w:val="-3"/>
                <w:szCs w:val="21"/>
                <w:highlight w:val="none"/>
                <w:u w:val="single"/>
                <w:lang w:val="en-US" w:eastAsia="zh-CN"/>
              </w:rPr>
              <w:t>5</w:t>
            </w:r>
            <w:r>
              <w:rPr>
                <w:rFonts w:hint="eastAsia" w:ascii="宋体" w:hAnsi="宋体" w:cs="宋体"/>
                <w:szCs w:val="21"/>
                <w:highlight w:val="none"/>
              </w:rPr>
              <w:t>人；</w:t>
            </w:r>
          </w:p>
          <w:p w14:paraId="23C21969">
            <w:pPr>
              <w:tabs>
                <w:tab w:val="left" w:pos="3040"/>
              </w:tabs>
              <w:autoSpaceDE w:val="0"/>
              <w:autoSpaceDN w:val="0"/>
              <w:adjustRightInd w:val="0"/>
              <w:spacing w:line="240" w:lineRule="auto"/>
              <w:ind w:left="102" w:right="129"/>
              <w:jc w:val="left"/>
              <w:rPr>
                <w:rFonts w:hint="eastAsia" w:ascii="宋体" w:hAnsi="宋体" w:cs="宋体"/>
                <w:szCs w:val="21"/>
                <w:highlight w:val="none"/>
              </w:rPr>
            </w:pPr>
            <w:r>
              <w:rPr>
                <w:rFonts w:hint="eastAsia" w:ascii="宋体" w:hAnsi="宋体" w:cs="宋体"/>
                <w:szCs w:val="21"/>
                <w:highlight w:val="none"/>
              </w:rPr>
              <w:t>评标专家确定方式：</w:t>
            </w:r>
            <w:r>
              <w:rPr>
                <w:rFonts w:hint="eastAsia" w:ascii="宋体" w:hAnsi="宋体" w:cs="宋体"/>
                <w:szCs w:val="21"/>
                <w:highlight w:val="none"/>
                <w:u w:val="single"/>
              </w:rPr>
              <w:t>随机抽取。</w:t>
            </w:r>
          </w:p>
        </w:tc>
      </w:tr>
      <w:tr w14:paraId="5C02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959" w:type="dxa"/>
          </w:tcPr>
          <w:p w14:paraId="37992DB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7.1</w:t>
            </w:r>
          </w:p>
        </w:tc>
        <w:tc>
          <w:tcPr>
            <w:tcW w:w="1498" w:type="dxa"/>
          </w:tcPr>
          <w:p w14:paraId="0A7BDFC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是否授权评标委员会确定中标人</w:t>
            </w:r>
          </w:p>
        </w:tc>
        <w:tc>
          <w:tcPr>
            <w:tcW w:w="7186" w:type="dxa"/>
          </w:tcPr>
          <w:p w14:paraId="4D43EF3D">
            <w:pPr>
              <w:spacing w:line="240" w:lineRule="auto"/>
              <w:jc w:val="left"/>
              <w:rPr>
                <w:rFonts w:hint="eastAsia" w:ascii="宋体" w:hAnsi="宋体" w:cs="宋体"/>
                <w:kern w:val="0"/>
                <w:szCs w:val="21"/>
                <w:highlight w:val="none"/>
              </w:rPr>
            </w:pPr>
            <w:r>
              <w:rPr>
                <w:rFonts w:hint="eastAsia" w:ascii="宋体" w:hAnsi="宋体" w:cs="宋体"/>
                <w:szCs w:val="21"/>
                <w:highlight w:val="none"/>
              </w:rPr>
              <w:t>□</w:t>
            </w:r>
            <w:r>
              <w:rPr>
                <w:rFonts w:hint="eastAsia" w:ascii="宋体" w:hAnsi="宋体" w:cs="宋体"/>
                <w:kern w:val="0"/>
                <w:szCs w:val="21"/>
                <w:highlight w:val="none"/>
              </w:rPr>
              <w:t>是</w:t>
            </w:r>
          </w:p>
          <w:p w14:paraId="423DE83A">
            <w:pPr>
              <w:spacing w:line="240" w:lineRule="auto"/>
              <w:jc w:val="left"/>
              <w:rPr>
                <w:rFonts w:hint="eastAsia" w:ascii="宋体" w:hAnsi="宋体" w:cs="宋体"/>
                <w:snapToGrid w:val="0"/>
                <w:kern w:val="0"/>
                <w:szCs w:val="21"/>
                <w:highlight w:val="none"/>
              </w:rPr>
            </w:pPr>
            <w:r>
              <w:rPr>
                <w:rFonts w:hint="eastAsia" w:ascii="宋体" w:hAnsi="宋体" w:cs="宋体"/>
                <w:highlight w:val="none"/>
              </w:rPr>
              <w:t xml:space="preserve">☑ </w:t>
            </w:r>
            <w:r>
              <w:rPr>
                <w:rFonts w:hint="eastAsia" w:ascii="宋体" w:hAnsi="宋体" w:cs="宋体"/>
                <w:kern w:val="0"/>
                <w:szCs w:val="21"/>
                <w:highlight w:val="none"/>
              </w:rPr>
              <w:t>否：</w:t>
            </w:r>
            <w:r>
              <w:rPr>
                <w:rFonts w:hint="eastAsia" w:ascii="宋体" w:hAnsi="宋体" w:cs="宋体"/>
                <w:szCs w:val="21"/>
                <w:highlight w:val="none"/>
              </w:rPr>
              <w:t>推荐的中标候选人数：</w:t>
            </w:r>
            <w:r>
              <w:rPr>
                <w:rFonts w:hint="eastAsia" w:ascii="宋体" w:hAnsi="宋体" w:cs="宋体"/>
                <w:szCs w:val="21"/>
                <w:highlight w:val="none"/>
                <w:u w:val="single"/>
              </w:rPr>
              <w:t>1-3名</w:t>
            </w:r>
            <w:r>
              <w:rPr>
                <w:rFonts w:hint="eastAsia" w:ascii="宋体" w:hAnsi="宋体" w:cs="宋体"/>
                <w:szCs w:val="21"/>
                <w:highlight w:val="none"/>
              </w:rPr>
              <w:t>。</w:t>
            </w:r>
          </w:p>
        </w:tc>
      </w:tr>
      <w:tr w14:paraId="48155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3EEDFF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7.3.1</w:t>
            </w:r>
          </w:p>
        </w:tc>
        <w:tc>
          <w:tcPr>
            <w:tcW w:w="1498" w:type="dxa"/>
          </w:tcPr>
          <w:p w14:paraId="2E136F7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履约担保</w:t>
            </w:r>
          </w:p>
        </w:tc>
        <w:tc>
          <w:tcPr>
            <w:tcW w:w="7186" w:type="dxa"/>
          </w:tcPr>
          <w:p w14:paraId="4FED36BE">
            <w:pPr>
              <w:spacing w:line="240" w:lineRule="auto"/>
              <w:jc w:val="left"/>
              <w:rPr>
                <w:rFonts w:ascii="宋体"/>
                <w:snapToGrid w:val="0"/>
                <w:kern w:val="0"/>
                <w:szCs w:val="21"/>
                <w:highlight w:val="none"/>
              </w:rPr>
            </w:pPr>
            <w:r>
              <w:rPr>
                <w:rFonts w:hint="eastAsia" w:ascii="宋体" w:hAnsi="宋体" w:cs="宋体"/>
                <w:szCs w:val="21"/>
                <w:highlight w:val="none"/>
              </w:rPr>
              <w:t>采用</w:t>
            </w:r>
            <w:r>
              <w:rPr>
                <w:rFonts w:hint="eastAsia" w:ascii="宋体" w:hAnsi="宋体"/>
                <w:snapToGrid w:val="0"/>
                <w:kern w:val="0"/>
                <w:szCs w:val="21"/>
                <w:highlight w:val="none"/>
              </w:rPr>
              <w:t>履约担保的形式：</w:t>
            </w:r>
            <w:r>
              <w:rPr>
                <w:rFonts w:ascii="宋体"/>
                <w:snapToGrid w:val="0"/>
                <w:kern w:val="0"/>
                <w:szCs w:val="21"/>
                <w:highlight w:val="none"/>
              </w:rPr>
              <w:t xml:space="preserve"> </w:t>
            </w:r>
            <w:bookmarkStart w:id="55" w:name="EBa6c8e353095a49e9865c870993cd58dc"/>
            <w:r>
              <w:rPr>
                <w:rFonts w:hint="eastAsia" w:ascii="宋体"/>
                <w:snapToGrid w:val="0"/>
                <w:kern w:val="0"/>
                <w:szCs w:val="21"/>
                <w:highlight w:val="none"/>
              </w:rPr>
              <w:t>履约保证金或银行保函</w:t>
            </w:r>
            <w:bookmarkEnd w:id="55"/>
            <w:r>
              <w:rPr>
                <w:rFonts w:hint="eastAsia" w:ascii="宋体"/>
                <w:snapToGrid w:val="0"/>
                <w:kern w:val="0"/>
                <w:szCs w:val="21"/>
                <w:highlight w:val="none"/>
              </w:rPr>
              <w:t>（若缴纳履约保证金的形式为开具银行保函，需确保保函有效期覆盖合同期。若合同在执行过程中保函即将过期，乙方需提前一个月重新开具银行保函交至甲方，否则甲方将停付进度款。）</w:t>
            </w:r>
          </w:p>
          <w:p w14:paraId="5A59F4E8">
            <w:pPr>
              <w:spacing w:line="240" w:lineRule="auto"/>
              <w:jc w:val="left"/>
              <w:rPr>
                <w:rFonts w:hint="eastAsia" w:ascii="宋体" w:hAnsi="宋体" w:cs="宋体"/>
                <w:snapToGrid w:val="0"/>
                <w:kern w:val="0"/>
                <w:szCs w:val="21"/>
                <w:highlight w:val="none"/>
              </w:rPr>
            </w:pPr>
            <w:r>
              <w:rPr>
                <w:rFonts w:hint="eastAsia" w:ascii="宋体" w:hAnsi="宋体"/>
                <w:snapToGrid w:val="0"/>
                <w:kern w:val="0"/>
                <w:szCs w:val="21"/>
                <w:highlight w:val="none"/>
              </w:rPr>
              <w:t>履约担保的金额：</w:t>
            </w:r>
            <w:bookmarkStart w:id="56" w:name="EB30e1b4290909484eae8a18603ad9ece7"/>
            <w:r>
              <w:rPr>
                <w:rFonts w:hint="eastAsia" w:ascii="宋体" w:hAnsi="宋体"/>
                <w:snapToGrid w:val="0"/>
                <w:kern w:val="0"/>
                <w:szCs w:val="21"/>
                <w:highlight w:val="none"/>
              </w:rPr>
              <w:t>投标总价的10%</w:t>
            </w:r>
            <w:bookmarkEnd w:id="56"/>
          </w:p>
        </w:tc>
      </w:tr>
      <w:tr w14:paraId="3BB8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603297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w:t>
            </w:r>
          </w:p>
        </w:tc>
        <w:tc>
          <w:tcPr>
            <w:tcW w:w="8684" w:type="dxa"/>
            <w:gridSpan w:val="2"/>
          </w:tcPr>
          <w:p w14:paraId="725B82DD">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需要补充的其他内容</w:t>
            </w:r>
          </w:p>
        </w:tc>
      </w:tr>
      <w:tr w14:paraId="57D1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8501A5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10.1</w:t>
            </w:r>
          </w:p>
        </w:tc>
        <w:tc>
          <w:tcPr>
            <w:tcW w:w="1498" w:type="dxa"/>
            <w:vAlign w:val="center"/>
          </w:tcPr>
          <w:p w14:paraId="241059D3">
            <w:pPr>
              <w:spacing w:line="240" w:lineRule="auto"/>
              <w:jc w:val="center"/>
              <w:rPr>
                <w:rFonts w:hint="eastAsia" w:ascii="宋体" w:hAnsi="宋体" w:cs="宋体"/>
                <w:snapToGrid w:val="0"/>
                <w:kern w:val="0"/>
                <w:szCs w:val="21"/>
                <w:highlight w:val="none"/>
              </w:rPr>
            </w:pPr>
            <w:r>
              <w:rPr>
                <w:rFonts w:hint="eastAsia" w:ascii="宋体" w:hAnsi="宋体" w:cs="宋体"/>
                <w:szCs w:val="21"/>
                <w:highlight w:val="none"/>
              </w:rPr>
              <w:t>酬金计算</w:t>
            </w:r>
          </w:p>
        </w:tc>
        <w:tc>
          <w:tcPr>
            <w:tcW w:w="7186" w:type="dxa"/>
          </w:tcPr>
          <w:p w14:paraId="2252A6AE">
            <w:pPr>
              <w:spacing w:line="240" w:lineRule="auto"/>
              <w:jc w:val="left"/>
              <w:rPr>
                <w:rFonts w:hint="eastAsia" w:ascii="宋体" w:hAnsi="宋体" w:cs="宋体"/>
                <w:szCs w:val="21"/>
                <w:highlight w:val="none"/>
              </w:rPr>
            </w:pPr>
            <w:r>
              <w:rPr>
                <w:rFonts w:hint="eastAsia" w:ascii="宋体" w:hAnsi="宋体" w:cs="宋体"/>
                <w:szCs w:val="21"/>
                <w:highlight w:val="none"/>
              </w:rPr>
              <w:t>全过程工程咨询服务的酬金可按各项专项服务的费用相叠加并增加相应统筹费用后计取，招标范围内专业项目未填报价的视为投标人对招标人的优惠。</w:t>
            </w:r>
          </w:p>
        </w:tc>
      </w:tr>
      <w:tr w14:paraId="6B58A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0F15A77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10.2</w:t>
            </w:r>
          </w:p>
        </w:tc>
        <w:tc>
          <w:tcPr>
            <w:tcW w:w="8684" w:type="dxa"/>
            <w:gridSpan w:val="2"/>
          </w:tcPr>
          <w:p w14:paraId="4CC56607">
            <w:pPr>
              <w:spacing w:line="240" w:lineRule="auto"/>
              <w:jc w:val="left"/>
              <w:rPr>
                <w:rFonts w:hint="eastAsia" w:ascii="宋体" w:hAnsi="宋体" w:cs="宋体"/>
                <w:szCs w:val="21"/>
                <w:highlight w:val="none"/>
              </w:rPr>
            </w:pPr>
            <w:r>
              <w:rPr>
                <w:rFonts w:hint="eastAsia" w:ascii="宋体" w:hAnsi="宋体" w:cs="宋体"/>
                <w:szCs w:val="21"/>
                <w:highlight w:val="none"/>
              </w:rPr>
              <w:t>投标保证金不予退还的其他情形</w:t>
            </w:r>
          </w:p>
          <w:p w14:paraId="4BE7FB6D">
            <w:pPr>
              <w:widowControl/>
              <w:spacing w:line="240" w:lineRule="auto"/>
              <w:jc w:val="left"/>
              <w:rPr>
                <w:rFonts w:hint="eastAsia" w:ascii="宋体" w:hAnsi="宋体" w:cs="宋体"/>
                <w:szCs w:val="21"/>
                <w:highlight w:val="none"/>
              </w:rPr>
            </w:pPr>
            <w:r>
              <w:rPr>
                <w:rFonts w:hint="eastAsia" w:ascii="宋体" w:hAnsi="宋体" w:cs="宋体"/>
                <w:szCs w:val="21"/>
                <w:highlight w:val="none"/>
              </w:rPr>
              <w:t>(1)投标人在投标过程中存在苏建规字〔2014〕2号文列举的串通投标或弄虚作假情形的，其投标保证金不予退还；</w:t>
            </w:r>
          </w:p>
          <w:p w14:paraId="1DA5591F">
            <w:pPr>
              <w:spacing w:line="240" w:lineRule="auto"/>
              <w:jc w:val="left"/>
              <w:rPr>
                <w:rFonts w:hint="eastAsia" w:ascii="宋体" w:hAnsi="宋体" w:cs="宋体"/>
                <w:szCs w:val="21"/>
                <w:highlight w:val="none"/>
              </w:rPr>
            </w:pPr>
            <w:r>
              <w:rPr>
                <w:rFonts w:hint="eastAsia" w:ascii="宋体" w:hAnsi="宋体" w:cs="宋体"/>
                <w:szCs w:val="21"/>
                <w:highlight w:val="none"/>
              </w:rPr>
              <w:t>(2)投标人有违约违规行为或被投诉、举报的，在调查处理期间，保证金暂不退还，待调查处理结束后按有关规定处理。</w:t>
            </w:r>
          </w:p>
        </w:tc>
      </w:tr>
      <w:tr w14:paraId="291EE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36D049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10.3</w:t>
            </w:r>
          </w:p>
        </w:tc>
        <w:tc>
          <w:tcPr>
            <w:tcW w:w="8684" w:type="dxa"/>
            <w:gridSpan w:val="2"/>
          </w:tcPr>
          <w:p w14:paraId="0CBF7CAE">
            <w:pPr>
              <w:numPr>
                <w:ilvl w:val="0"/>
                <w:numId w:val="3"/>
              </w:numPr>
              <w:spacing w:line="240" w:lineRule="auto"/>
              <w:jc w:val="left"/>
              <w:rPr>
                <w:rFonts w:hint="eastAsia" w:ascii="宋体" w:hAnsi="宋体" w:cs="宋体"/>
                <w:highlight w:val="none"/>
              </w:rPr>
            </w:pPr>
            <w:r>
              <w:rPr>
                <w:rFonts w:hint="eastAsia" w:ascii="宋体" w:hAnsi="宋体" w:cs="宋体"/>
                <w:highlight w:val="none"/>
              </w:rPr>
              <w:t>投标保证金的退还方式：中标人的投标保证金在招标人与中标人签订合同后退还；未中标投标人的投标保证金在中标候选人公示结束无异议后退还。</w:t>
            </w:r>
          </w:p>
        </w:tc>
      </w:tr>
      <w:tr w14:paraId="4EB27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1BB96A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10.4</w:t>
            </w:r>
          </w:p>
        </w:tc>
        <w:tc>
          <w:tcPr>
            <w:tcW w:w="8684" w:type="dxa"/>
            <w:gridSpan w:val="2"/>
          </w:tcPr>
          <w:p w14:paraId="348E35CB">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知识产权：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14:paraId="71A3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EF3BBE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10.5</w:t>
            </w:r>
          </w:p>
        </w:tc>
        <w:tc>
          <w:tcPr>
            <w:tcW w:w="8684" w:type="dxa"/>
            <w:gridSpan w:val="2"/>
          </w:tcPr>
          <w:p w14:paraId="577D012F">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解释权：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D12A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61FA792">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6</w:t>
            </w:r>
          </w:p>
        </w:tc>
        <w:tc>
          <w:tcPr>
            <w:tcW w:w="8684" w:type="dxa"/>
            <w:gridSpan w:val="2"/>
          </w:tcPr>
          <w:p w14:paraId="176C618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 异议：投标人或者其他利害关系人对招标文件有异议的，应在投标人须知前附表第2.2.1款投标人提出问题的截止时间前提出。招标人应当自收到异议之日起3日内作出答复；作出答复前，应当暂停招标投标活动。投标人对开标有异议的，应当在开标现场提出，招标人应当当场作出答复，并制作记录。投标人或者其他利害关系人对依法必须进行招标的项目的评标结果有异议的，应当在中标候选人公示期间提出。</w:t>
            </w:r>
          </w:p>
          <w:p w14:paraId="33E681E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 投诉：投标人和其他利害关系人认为本次招标活动违反法律、法规和规章规定的，可以在知道或者应当知道之日起十日内向</w:t>
            </w:r>
            <w:r>
              <w:rPr>
                <w:rFonts w:hint="eastAsia" w:ascii="宋体" w:hAnsi="宋体" w:cs="宋体"/>
                <w:snapToGrid w:val="0"/>
                <w:kern w:val="0"/>
                <w:szCs w:val="21"/>
                <w:highlight w:val="none"/>
                <w:lang w:eastAsia="zh-CN"/>
              </w:rPr>
              <w:t>宜兴市公用环保集团有限公司</w:t>
            </w:r>
            <w:r>
              <w:rPr>
                <w:rFonts w:hint="eastAsia" w:ascii="宋体" w:hAnsi="宋体" w:cs="宋体"/>
                <w:snapToGrid w:val="0"/>
                <w:kern w:val="0"/>
                <w:szCs w:val="21"/>
                <w:highlight w:val="none"/>
              </w:rPr>
              <w:t>提出书面投诉。投诉应当有明确的请求和必要的证明材料。就第1项规定事项提出投诉的，应先向招标人提出异议。</w:t>
            </w:r>
          </w:p>
        </w:tc>
      </w:tr>
      <w:tr w14:paraId="4FC3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00BD53C">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7</w:t>
            </w:r>
          </w:p>
        </w:tc>
        <w:tc>
          <w:tcPr>
            <w:tcW w:w="8684" w:type="dxa"/>
            <w:gridSpan w:val="2"/>
          </w:tcPr>
          <w:p w14:paraId="3D2857F7">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tc>
      </w:tr>
      <w:tr w14:paraId="4D9B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1D786EEF">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8</w:t>
            </w:r>
          </w:p>
        </w:tc>
        <w:tc>
          <w:tcPr>
            <w:tcW w:w="8684" w:type="dxa"/>
            <w:gridSpan w:val="2"/>
          </w:tcPr>
          <w:p w14:paraId="30447727">
            <w:pPr>
              <w:spacing w:line="240" w:lineRule="auto"/>
              <w:jc w:val="left"/>
              <w:rPr>
                <w:rFonts w:ascii="宋体" w:hAnsi="Calibri" w:cs="宋体"/>
                <w:kern w:val="0"/>
                <w:szCs w:val="21"/>
                <w:highlight w:val="none"/>
              </w:rPr>
            </w:pPr>
            <w:r>
              <w:rPr>
                <w:rFonts w:hint="eastAsia" w:ascii="宋体" w:hAnsi="Calibri" w:cs="宋体"/>
                <w:kern w:val="0"/>
                <w:szCs w:val="21"/>
                <w:highlight w:val="none"/>
              </w:rPr>
              <w:t>招投标不良行为信息公开。投标人在招投标活动中存在下列不良行为的，招投标监管部门在指定媒介上公示：1.除不可抗力外，资格预审合格的投标人无故不获取招标文件、获取招标文件后放弃投标、或者在投标截止后无故撤销投标文件等，公示2个月；2.递交无竞争力投标文件的，公示1个月，无竞争力投标是指不以中标为目的的投标，包括投标报价畸高、投标文件漏项缺项、施工组织设计文件不符合篇幅要求、违反招标文件中的无效投标条款、项目负责人缺席答辩或消极答辩（答辩得分低于扣除一个最高分及一个最低分后平均分的60%，评标委员会需进行判定）等情形）；3.投诉人一年内在全市范围内投诉反映情况不属实，缺乏事实、法律依据的或者被驳回投诉（包括全部驳回和部分驳回）的，每达到两次，公示1个月；4.投诉人故意捏造事实、伪造证明材料的，或者以非法手段取得证明材料等进行恶意投诉的，公示3个月。（锡建规发【2021】3号）</w:t>
            </w:r>
          </w:p>
        </w:tc>
      </w:tr>
      <w:bookmarkEnd w:id="0"/>
      <w:bookmarkEnd w:id="50"/>
    </w:tbl>
    <w:p w14:paraId="6FB0A249">
      <w:pPr>
        <w:spacing w:line="400" w:lineRule="exact"/>
        <w:jc w:val="left"/>
        <w:rPr>
          <w:rFonts w:hint="eastAsia" w:ascii="宋体" w:hAnsi="宋体" w:cs="宋体"/>
          <w:highlight w:val="none"/>
        </w:rPr>
      </w:pPr>
    </w:p>
    <w:p w14:paraId="26019E97">
      <w:pPr>
        <w:pStyle w:val="2"/>
        <w:jc w:val="left"/>
        <w:rPr>
          <w:highlight w:val="none"/>
        </w:rPr>
      </w:pPr>
    </w:p>
    <w:p w14:paraId="1CE783EC">
      <w:pPr>
        <w:pStyle w:val="5"/>
        <w:spacing w:before="0" w:after="0" w:line="400" w:lineRule="exact"/>
        <w:jc w:val="left"/>
        <w:rPr>
          <w:rFonts w:hint="eastAsia" w:ascii="宋体" w:hAnsi="宋体" w:cs="宋体"/>
          <w:kern w:val="2"/>
          <w:highlight w:val="none"/>
        </w:rPr>
      </w:pPr>
      <w:bookmarkStart w:id="57" w:name="_Toc7803"/>
      <w:bookmarkStart w:id="58" w:name="_Toc18698"/>
      <w:bookmarkStart w:id="59" w:name="_Toc93403949"/>
      <w:r>
        <w:rPr>
          <w:rFonts w:hint="eastAsia" w:ascii="宋体" w:hAnsi="宋体" w:cs="宋体"/>
          <w:kern w:val="2"/>
          <w:highlight w:val="none"/>
        </w:rPr>
        <w:t>1.总则</w:t>
      </w:r>
      <w:bookmarkEnd w:id="57"/>
      <w:bookmarkEnd w:id="58"/>
      <w:bookmarkEnd w:id="59"/>
    </w:p>
    <w:p w14:paraId="78BCC32E">
      <w:pPr>
        <w:pStyle w:val="5"/>
        <w:spacing w:before="0" w:after="0" w:line="400" w:lineRule="exact"/>
        <w:jc w:val="left"/>
        <w:rPr>
          <w:rFonts w:hint="eastAsia" w:ascii="宋体" w:hAnsi="宋体" w:cs="宋体"/>
          <w:kern w:val="2"/>
          <w:highlight w:val="none"/>
        </w:rPr>
      </w:pPr>
      <w:bookmarkStart w:id="60" w:name="_Toc93403950"/>
      <w:bookmarkStart w:id="61" w:name="_Toc23361"/>
      <w:bookmarkStart w:id="62" w:name="_Toc458"/>
      <w:r>
        <w:rPr>
          <w:rFonts w:hint="eastAsia" w:ascii="宋体" w:hAnsi="宋体" w:cs="宋体"/>
          <w:kern w:val="2"/>
          <w:highlight w:val="none"/>
        </w:rPr>
        <w:t>1.1项目概况</w:t>
      </w:r>
      <w:bookmarkEnd w:id="60"/>
      <w:bookmarkEnd w:id="61"/>
      <w:bookmarkEnd w:id="62"/>
    </w:p>
    <w:p w14:paraId="7C98C2B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1.1.1根据《中华人民共和国招标投标法》</w:t>
      </w:r>
      <w:r>
        <w:rPr>
          <w:rFonts w:hint="eastAsia" w:ascii="宋体" w:hAnsi="宋体" w:cs="宋体"/>
          <w:kern w:val="0"/>
          <w:szCs w:val="21"/>
          <w:highlight w:val="none"/>
        </w:rPr>
        <w:t>、《中华人民共和国招标投标法实施条例》</w:t>
      </w:r>
      <w:r>
        <w:rPr>
          <w:rFonts w:hint="eastAsia" w:ascii="宋体" w:hAnsi="宋体" w:cs="宋体"/>
          <w:snapToGrid w:val="0"/>
          <w:kern w:val="0"/>
          <w:highlight w:val="none"/>
        </w:rPr>
        <w:t>等有关法律、法规和规章的规定，经有关建设行政主管部门备案，本招标项目已具备招标条件，现对本标段全过程工程咨询服务进行招标。</w:t>
      </w:r>
    </w:p>
    <w:p w14:paraId="0B73661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1.1.2本招标项目招标人：见投标人须知前附表。</w:t>
      </w:r>
    </w:p>
    <w:p w14:paraId="651F3D7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1.1.3本标段招标代理机构：见投标人须知前附表。</w:t>
      </w:r>
    </w:p>
    <w:p w14:paraId="7A85ED4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1.1.4本招标项目名称：见投标人须知前附表。</w:t>
      </w:r>
    </w:p>
    <w:p w14:paraId="7EEC779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1.1.5本招标项目说明：见投标人须知前附表。</w:t>
      </w:r>
    </w:p>
    <w:p w14:paraId="50B58C23">
      <w:pPr>
        <w:pStyle w:val="5"/>
        <w:spacing w:before="0" w:after="0" w:line="400" w:lineRule="exact"/>
        <w:jc w:val="left"/>
        <w:rPr>
          <w:rFonts w:hint="eastAsia" w:ascii="宋体" w:hAnsi="宋体" w:cs="宋体"/>
          <w:kern w:val="2"/>
          <w:highlight w:val="none"/>
        </w:rPr>
      </w:pPr>
      <w:bookmarkStart w:id="63" w:name="_Toc27036"/>
      <w:bookmarkStart w:id="64" w:name="_Toc23733"/>
      <w:bookmarkStart w:id="65" w:name="_Toc93403951"/>
      <w:r>
        <w:rPr>
          <w:rFonts w:hint="eastAsia" w:ascii="宋体" w:hAnsi="宋体" w:cs="宋体"/>
          <w:kern w:val="2"/>
          <w:highlight w:val="none"/>
        </w:rPr>
        <w:t>1.2资金来源和落实情况</w:t>
      </w:r>
      <w:bookmarkEnd w:id="63"/>
      <w:bookmarkEnd w:id="64"/>
      <w:bookmarkEnd w:id="65"/>
    </w:p>
    <w:p w14:paraId="5FCE0D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1.2.1本招标项目的资金来源及出资比例：见投标人须知前附表。</w:t>
      </w:r>
    </w:p>
    <w:p w14:paraId="7EE0529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1.2.2本招标项目的资金落实情况：见投标人须知前附表。</w:t>
      </w:r>
    </w:p>
    <w:p w14:paraId="7ECCE648">
      <w:pPr>
        <w:pStyle w:val="5"/>
        <w:spacing w:before="0" w:after="0" w:line="400" w:lineRule="exact"/>
        <w:jc w:val="left"/>
        <w:rPr>
          <w:rFonts w:hint="eastAsia" w:ascii="宋体" w:hAnsi="宋体" w:cs="宋体"/>
          <w:kern w:val="2"/>
          <w:highlight w:val="none"/>
        </w:rPr>
      </w:pPr>
      <w:bookmarkStart w:id="66" w:name="_Toc18585"/>
      <w:bookmarkStart w:id="67" w:name="_Toc93403952"/>
      <w:bookmarkStart w:id="68" w:name="_Toc4098"/>
      <w:r>
        <w:rPr>
          <w:rFonts w:hint="eastAsia" w:ascii="宋体" w:hAnsi="宋体" w:cs="宋体"/>
          <w:kern w:val="2"/>
          <w:highlight w:val="none"/>
        </w:rPr>
        <w:t>1.3委托全过程工程咨询服务的范围、服务期和工作目标</w:t>
      </w:r>
      <w:bookmarkEnd w:id="66"/>
      <w:bookmarkEnd w:id="67"/>
      <w:bookmarkEnd w:id="68"/>
    </w:p>
    <w:p w14:paraId="15AB555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1.3.1本次委托全过程工程咨询服务的范围：见投标人须知前附表。</w:t>
      </w:r>
    </w:p>
    <w:p w14:paraId="68F6985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1.3.2本次委托全过程工程咨询服务服务期：见投标人须知前附表。</w:t>
      </w:r>
    </w:p>
    <w:p w14:paraId="573F2D5A">
      <w:pPr>
        <w:spacing w:line="400" w:lineRule="exact"/>
        <w:ind w:firstLine="420" w:firstLineChars="200"/>
        <w:jc w:val="left"/>
        <w:rPr>
          <w:rFonts w:hint="eastAsia" w:ascii="宋体" w:hAnsi="宋体" w:cs="宋体"/>
          <w:snapToGrid w:val="0"/>
          <w:kern w:val="0"/>
          <w:highlight w:val="none"/>
        </w:rPr>
      </w:pPr>
      <w:bookmarkStart w:id="69" w:name="第二章_投标人资格要求_资格后审"/>
      <w:r>
        <w:rPr>
          <w:rFonts w:hint="eastAsia" w:ascii="宋体" w:hAnsi="宋体" w:cs="宋体"/>
          <w:snapToGrid w:val="0"/>
          <w:kern w:val="0"/>
          <w:highlight w:val="none"/>
        </w:rPr>
        <w:t>1.3.3</w:t>
      </w:r>
      <w:r>
        <w:rPr>
          <w:rFonts w:hint="eastAsia" w:ascii="宋体" w:hAnsi="宋体" w:cs="宋体"/>
          <w:kern w:val="0"/>
          <w:szCs w:val="21"/>
          <w:highlight w:val="none"/>
        </w:rPr>
        <w:t>本标段的工作目标：见投标人须知前附表。</w:t>
      </w:r>
    </w:p>
    <w:p w14:paraId="2DBBB72E">
      <w:pPr>
        <w:pStyle w:val="5"/>
        <w:spacing w:before="0" w:after="0" w:line="400" w:lineRule="exact"/>
        <w:jc w:val="left"/>
        <w:rPr>
          <w:rFonts w:hint="eastAsia" w:ascii="宋体" w:hAnsi="宋体" w:cs="宋体"/>
          <w:kern w:val="2"/>
          <w:highlight w:val="none"/>
        </w:rPr>
      </w:pPr>
      <w:bookmarkStart w:id="70" w:name="_Toc17721"/>
      <w:bookmarkStart w:id="71" w:name="_Toc93403953"/>
      <w:bookmarkStart w:id="72" w:name="_Toc28492"/>
      <w:bookmarkStart w:id="73" w:name="资格后审3"/>
      <w:r>
        <w:rPr>
          <w:rFonts w:hint="eastAsia" w:ascii="宋体" w:hAnsi="宋体" w:cs="宋体"/>
          <w:kern w:val="2"/>
          <w:highlight w:val="none"/>
        </w:rPr>
        <w:t>1.4投标人资格要求</w:t>
      </w:r>
      <w:bookmarkEnd w:id="70"/>
      <w:bookmarkEnd w:id="71"/>
      <w:bookmarkEnd w:id="72"/>
    </w:p>
    <w:p w14:paraId="156F1F4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1.4.1投标人的应具备承担本标段全过程工程咨询服务的资质条件、能力和信誉。</w:t>
      </w:r>
    </w:p>
    <w:p w14:paraId="630EB54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(1)资质条件：见投标人须知前附表。</w:t>
      </w:r>
    </w:p>
    <w:p w14:paraId="464DA5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(2)项目总负责人要求：见投标人须知前附表。</w:t>
      </w:r>
    </w:p>
    <w:p w14:paraId="2BE48C2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(3)业绩要求：见投标人须知前附表。</w:t>
      </w:r>
    </w:p>
    <w:p w14:paraId="79E2BB4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(4)信誉要求：见投标人须知前附表。</w:t>
      </w:r>
    </w:p>
    <w:p w14:paraId="0A380C6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(5)其他要求见投标人须知前附表。</w:t>
      </w:r>
    </w:p>
    <w:p w14:paraId="233FC0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1.4.2投标人须知前附表规定接受联合体投标的，除应符合本章第1.4.1项和投标人须知前附表的要求外，还应遵守以下规定：</w:t>
      </w:r>
    </w:p>
    <w:p w14:paraId="5FD730D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(1)联合体各方应按招标文件提供的格式签订联合体协议书，明确联合体牵头方和各方权利义务。</w:t>
      </w:r>
    </w:p>
    <w:p w14:paraId="5D7944F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（2）联合体各成员单位应当具备与联合体协议中约定的分工相适应的资质和能力；</w:t>
      </w:r>
    </w:p>
    <w:p w14:paraId="10571BD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（3）联合体各方不得再以自己名义单独或参加其他联合体在同一标段中投标；</w:t>
      </w:r>
    </w:p>
    <w:p w14:paraId="78D48A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（4）联合体各方必须指定牵头方，授权其代表所有联合体成员负责投标和合同实施阶段的主办、协调工作；</w:t>
      </w:r>
    </w:p>
    <w:p w14:paraId="0CE0D0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（5）招标人要求投标人提交投标保证担保的，应当以联合体各方或者联合体中牵头方的名义提交投标保证担保。以联合体中牵头方名义提交的投标保证担保，对联合体各成员具有约束力。</w:t>
      </w:r>
    </w:p>
    <w:p w14:paraId="27A2F50F">
      <w:pPr>
        <w:autoSpaceDE w:val="0"/>
        <w:autoSpaceDN w:val="0"/>
        <w:adjustRightInd w:val="0"/>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1.4.3投标人不得存在下列情形之一：</w:t>
      </w:r>
    </w:p>
    <w:p w14:paraId="319FFBF2">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（1）为招标人不具有独立法人资格的附属机构（单位）；</w:t>
      </w:r>
    </w:p>
    <w:p w14:paraId="61912EEE">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（2）为本标段提供招标代理服务的；</w:t>
      </w:r>
    </w:p>
    <w:p w14:paraId="19C24D42">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（3）与本标段的招标代理机构存在单位负责人为同一人的；</w:t>
      </w:r>
    </w:p>
    <w:p w14:paraId="4E1AACED">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（4）与本标段的招标代理机构存在相互控股或参股的；</w:t>
      </w:r>
    </w:p>
    <w:p w14:paraId="7068D2AA">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（5）与本标段其他投标人存在单位负责人为同一人或者存在控股、管理关系的；</w:t>
      </w:r>
    </w:p>
    <w:p w14:paraId="0066CA68">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w:t>
      </w:r>
      <w:r>
        <w:rPr>
          <w:rFonts w:hint="eastAsia" w:ascii="宋体" w:hAnsi="宋体" w:cs="宋体"/>
          <w:szCs w:val="21"/>
          <w:highlight w:val="none"/>
        </w:rPr>
        <w:t>全过程工程咨询服务投标人及其分包单位不得</w:t>
      </w:r>
      <w:r>
        <w:rPr>
          <w:rFonts w:hint="eastAsia" w:ascii="宋体" w:hAnsi="宋体" w:cs="宋体"/>
          <w:kern w:val="0"/>
          <w:szCs w:val="21"/>
          <w:highlight w:val="none"/>
        </w:rPr>
        <w:t>与本项目的工程总承包</w:t>
      </w:r>
      <w:r>
        <w:rPr>
          <w:rFonts w:hint="eastAsia" w:ascii="宋体" w:hAnsi="宋体" w:cs="宋体"/>
          <w:szCs w:val="21"/>
          <w:highlight w:val="none"/>
        </w:rPr>
        <w:t>单位</w:t>
      </w:r>
      <w:r>
        <w:rPr>
          <w:rFonts w:hint="eastAsia" w:ascii="宋体" w:hAnsi="宋体" w:cs="宋体"/>
          <w:kern w:val="0"/>
          <w:szCs w:val="21"/>
          <w:highlight w:val="none"/>
        </w:rPr>
        <w:t>、施工</w:t>
      </w:r>
      <w:r>
        <w:rPr>
          <w:rFonts w:hint="eastAsia" w:ascii="宋体" w:hAnsi="宋体" w:cs="宋体"/>
          <w:szCs w:val="21"/>
          <w:highlight w:val="none"/>
        </w:rPr>
        <w:t>单位存</w:t>
      </w:r>
      <w:r>
        <w:rPr>
          <w:rFonts w:hint="eastAsia" w:ascii="宋体" w:hAnsi="宋体" w:cs="宋体"/>
          <w:kern w:val="0"/>
          <w:szCs w:val="21"/>
          <w:highlight w:val="none"/>
        </w:rPr>
        <w:t>在利害关系；</w:t>
      </w:r>
    </w:p>
    <w:p w14:paraId="026FBAFF">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（7）法律法规规定的其它情形；</w:t>
      </w:r>
    </w:p>
    <w:bookmarkEnd w:id="69"/>
    <w:bookmarkEnd w:id="73"/>
    <w:p w14:paraId="1365797F">
      <w:pPr>
        <w:pStyle w:val="5"/>
        <w:spacing w:before="0" w:after="0" w:line="400" w:lineRule="exact"/>
        <w:jc w:val="left"/>
        <w:rPr>
          <w:rFonts w:hint="eastAsia" w:ascii="宋体" w:hAnsi="宋体" w:cs="宋体"/>
          <w:kern w:val="2"/>
          <w:highlight w:val="none"/>
        </w:rPr>
      </w:pPr>
      <w:bookmarkStart w:id="74" w:name="_Toc17739"/>
      <w:bookmarkStart w:id="75" w:name="_Toc11200"/>
      <w:bookmarkStart w:id="76" w:name="_Toc93403954"/>
      <w:bookmarkStart w:id="77" w:name="资格后审4"/>
      <w:r>
        <w:rPr>
          <w:rFonts w:hint="eastAsia" w:ascii="宋体" w:hAnsi="宋体" w:cs="宋体"/>
          <w:kern w:val="2"/>
          <w:highlight w:val="none"/>
        </w:rPr>
        <w:t>1.5费用承担</w:t>
      </w:r>
      <w:bookmarkEnd w:id="74"/>
      <w:bookmarkEnd w:id="75"/>
      <w:bookmarkEnd w:id="76"/>
    </w:p>
    <w:p w14:paraId="36F2A9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投标人准备和参加投标活动发生的费用自理。</w:t>
      </w:r>
    </w:p>
    <w:p w14:paraId="164E62AA">
      <w:pPr>
        <w:pStyle w:val="5"/>
        <w:spacing w:before="0" w:after="0" w:line="400" w:lineRule="exact"/>
        <w:jc w:val="left"/>
        <w:rPr>
          <w:rFonts w:hint="eastAsia" w:ascii="宋体" w:hAnsi="宋体" w:cs="宋体"/>
          <w:kern w:val="2"/>
          <w:highlight w:val="none"/>
        </w:rPr>
      </w:pPr>
      <w:bookmarkStart w:id="78" w:name="_Toc93403955"/>
      <w:bookmarkStart w:id="79" w:name="_Toc2409"/>
      <w:bookmarkStart w:id="80" w:name="_Toc10088"/>
      <w:r>
        <w:rPr>
          <w:rFonts w:hint="eastAsia" w:ascii="宋体" w:hAnsi="宋体" w:cs="宋体"/>
          <w:kern w:val="2"/>
          <w:highlight w:val="none"/>
        </w:rPr>
        <w:t>1.6保密</w:t>
      </w:r>
      <w:bookmarkEnd w:id="78"/>
      <w:bookmarkEnd w:id="79"/>
      <w:bookmarkEnd w:id="80"/>
    </w:p>
    <w:p w14:paraId="582BDA7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参与招标投标活动的各方应对招标文件和投标文件中的商业和技术等秘密保密，违者应对由此造成的后果承担法律责任。</w:t>
      </w:r>
    </w:p>
    <w:p w14:paraId="2569D93C">
      <w:pPr>
        <w:pStyle w:val="5"/>
        <w:spacing w:before="0" w:after="0" w:line="400" w:lineRule="exact"/>
        <w:jc w:val="left"/>
        <w:rPr>
          <w:rFonts w:hint="eastAsia" w:ascii="宋体" w:hAnsi="宋体" w:cs="宋体"/>
          <w:kern w:val="2"/>
          <w:highlight w:val="none"/>
        </w:rPr>
      </w:pPr>
      <w:bookmarkStart w:id="81" w:name="_Toc17839"/>
      <w:bookmarkStart w:id="82" w:name="_Toc93403956"/>
      <w:bookmarkStart w:id="83" w:name="_Toc6505"/>
      <w:r>
        <w:rPr>
          <w:rFonts w:hint="eastAsia" w:ascii="宋体" w:hAnsi="宋体" w:cs="宋体"/>
          <w:kern w:val="2"/>
          <w:highlight w:val="none"/>
        </w:rPr>
        <w:t>1.7语言文字</w:t>
      </w:r>
      <w:bookmarkEnd w:id="81"/>
      <w:bookmarkEnd w:id="82"/>
      <w:bookmarkEnd w:id="83"/>
    </w:p>
    <w:p w14:paraId="68BF94E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除专用术语外，与招标投标有关的语言均使用中文。必要时专用术语应附有中文注释。</w:t>
      </w:r>
    </w:p>
    <w:p w14:paraId="18BF83E3">
      <w:pPr>
        <w:pStyle w:val="5"/>
        <w:spacing w:before="0" w:after="0" w:line="400" w:lineRule="exact"/>
        <w:jc w:val="left"/>
        <w:rPr>
          <w:rFonts w:hint="eastAsia" w:ascii="宋体" w:hAnsi="宋体" w:cs="宋体"/>
          <w:snapToGrid w:val="0"/>
          <w:highlight w:val="none"/>
        </w:rPr>
      </w:pPr>
      <w:bookmarkStart w:id="84" w:name="_Toc9768"/>
      <w:bookmarkStart w:id="85" w:name="_Toc31850"/>
      <w:bookmarkStart w:id="86" w:name="_Toc93403957"/>
      <w:r>
        <w:rPr>
          <w:rFonts w:hint="eastAsia" w:ascii="宋体" w:hAnsi="宋体" w:cs="宋体"/>
          <w:snapToGrid w:val="0"/>
          <w:highlight w:val="none"/>
        </w:rPr>
        <w:t>1.8计量单位</w:t>
      </w:r>
      <w:bookmarkEnd w:id="84"/>
      <w:bookmarkEnd w:id="85"/>
      <w:bookmarkEnd w:id="86"/>
    </w:p>
    <w:p w14:paraId="0633508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所有计量均采用中华人民共和国法定计量单位。</w:t>
      </w:r>
    </w:p>
    <w:p w14:paraId="79A4A281">
      <w:pPr>
        <w:pStyle w:val="5"/>
        <w:spacing w:before="0" w:after="0" w:line="400" w:lineRule="exact"/>
        <w:jc w:val="left"/>
        <w:rPr>
          <w:rFonts w:hint="eastAsia" w:ascii="宋体" w:hAnsi="宋体" w:cs="宋体"/>
          <w:snapToGrid w:val="0"/>
          <w:highlight w:val="none"/>
        </w:rPr>
      </w:pPr>
      <w:bookmarkStart w:id="87" w:name="_Toc93403958"/>
      <w:bookmarkStart w:id="88" w:name="_Toc12425"/>
      <w:bookmarkStart w:id="89" w:name="_Toc30544"/>
      <w:r>
        <w:rPr>
          <w:rFonts w:hint="eastAsia" w:ascii="宋体" w:hAnsi="宋体" w:cs="宋体"/>
          <w:snapToGrid w:val="0"/>
          <w:highlight w:val="none"/>
        </w:rPr>
        <w:t>1.9踏勘现场</w:t>
      </w:r>
      <w:bookmarkEnd w:id="87"/>
      <w:bookmarkEnd w:id="88"/>
      <w:bookmarkEnd w:id="89"/>
    </w:p>
    <w:p w14:paraId="3BFB24C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1.9.1投标人须知前附表规定组织踏勘现场的，招标人按投标人须知前附表规定的时间、地点组织投标人踏勘项目现场。</w:t>
      </w:r>
    </w:p>
    <w:p w14:paraId="2CBFA2B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1.9.2投标人踏勘现场发生的费用自理。</w:t>
      </w:r>
    </w:p>
    <w:p w14:paraId="4ED222F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1.9.3投标人自行负责在踏勘现场中所发生的人员伤亡和财产损失。</w:t>
      </w:r>
    </w:p>
    <w:p w14:paraId="6E9356E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1.9.4招标人在踏勘现场中介绍的工程场地和相关的周边环境情况，供投标人在编制投标文件时参考，招标人不对投标人据此作出的判断和决策负责。</w:t>
      </w:r>
    </w:p>
    <w:bookmarkEnd w:id="77"/>
    <w:p w14:paraId="257AF16F">
      <w:pPr>
        <w:pStyle w:val="5"/>
        <w:spacing w:before="0" w:after="0" w:line="400" w:lineRule="exact"/>
        <w:jc w:val="left"/>
        <w:rPr>
          <w:rFonts w:hint="eastAsia" w:ascii="宋体" w:hAnsi="宋体" w:cs="宋体"/>
          <w:b w:val="0"/>
          <w:snapToGrid w:val="0"/>
          <w:sz w:val="21"/>
          <w:szCs w:val="21"/>
          <w:highlight w:val="none"/>
        </w:rPr>
      </w:pPr>
      <w:bookmarkStart w:id="90" w:name="_Toc21713"/>
      <w:bookmarkStart w:id="91" w:name="_Toc93403959"/>
      <w:bookmarkStart w:id="92" w:name="_Toc9267"/>
      <w:r>
        <w:rPr>
          <w:rFonts w:hint="eastAsia" w:ascii="宋体" w:hAnsi="宋体" w:cs="宋体"/>
          <w:kern w:val="2"/>
          <w:highlight w:val="none"/>
        </w:rPr>
        <w:t>2.招标文件</w:t>
      </w:r>
      <w:bookmarkEnd w:id="90"/>
      <w:bookmarkEnd w:id="91"/>
      <w:bookmarkEnd w:id="92"/>
    </w:p>
    <w:p w14:paraId="788CE44C">
      <w:pPr>
        <w:pStyle w:val="5"/>
        <w:spacing w:before="0" w:after="0" w:line="400" w:lineRule="exact"/>
        <w:jc w:val="left"/>
        <w:rPr>
          <w:rFonts w:hint="eastAsia" w:ascii="宋体" w:hAnsi="宋体" w:cs="宋体"/>
          <w:kern w:val="2"/>
          <w:highlight w:val="none"/>
        </w:rPr>
      </w:pPr>
      <w:bookmarkStart w:id="93" w:name="_Toc3925"/>
      <w:bookmarkStart w:id="94" w:name="_Toc93403960"/>
      <w:bookmarkStart w:id="95" w:name="_Toc25299"/>
      <w:r>
        <w:rPr>
          <w:rFonts w:hint="eastAsia" w:ascii="宋体" w:hAnsi="宋体" w:cs="宋体"/>
          <w:kern w:val="2"/>
          <w:highlight w:val="none"/>
        </w:rPr>
        <w:t>2.1招标文件的组成</w:t>
      </w:r>
      <w:bookmarkEnd w:id="93"/>
      <w:bookmarkEnd w:id="94"/>
      <w:bookmarkEnd w:id="95"/>
    </w:p>
    <w:p w14:paraId="501F218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招标文件的组成包括：</w:t>
      </w:r>
    </w:p>
    <w:p w14:paraId="55573EC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(1)招标公告（或投标邀请书）；</w:t>
      </w:r>
    </w:p>
    <w:p w14:paraId="0F10D56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(2)投标人须知；</w:t>
      </w:r>
    </w:p>
    <w:p w14:paraId="13D79A3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(3)评标办法；</w:t>
      </w:r>
    </w:p>
    <w:p w14:paraId="5144535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(4)合同条款及格式；</w:t>
      </w:r>
    </w:p>
    <w:p w14:paraId="453D701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(5)全过程工程咨询服务执行的工程建设相关规范、技术标准；</w:t>
      </w:r>
    </w:p>
    <w:p w14:paraId="6102137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(6)投标文件格式；</w:t>
      </w:r>
    </w:p>
    <w:p w14:paraId="27B2D39E">
      <w:pPr>
        <w:spacing w:line="400" w:lineRule="exact"/>
        <w:ind w:firstLine="420" w:firstLineChars="200"/>
        <w:jc w:val="left"/>
        <w:rPr>
          <w:rFonts w:hint="eastAsia" w:ascii="宋体" w:hAnsi="宋体" w:cs="宋体"/>
          <w:kern w:val="0"/>
          <w:szCs w:val="21"/>
          <w:highlight w:val="none"/>
        </w:rPr>
      </w:pPr>
      <w:r>
        <w:rPr>
          <w:rFonts w:hint="eastAsia" w:ascii="宋体" w:hAnsi="宋体" w:cs="宋体"/>
          <w:snapToGrid w:val="0"/>
          <w:kern w:val="0"/>
          <w:highlight w:val="none"/>
        </w:rPr>
        <w:t>根据本章第2.2款对招标文件所作的澄清、修改，构成招标文件的组成部分。</w:t>
      </w:r>
      <w:r>
        <w:rPr>
          <w:rFonts w:hint="eastAsia" w:ascii="宋体" w:hAnsi="宋体" w:cs="宋体"/>
          <w:kern w:val="0"/>
          <w:szCs w:val="21"/>
          <w:highlight w:val="none"/>
        </w:rPr>
        <w:t>当招标文件相互之间发生矛盾时，以后发出的文件为准。</w:t>
      </w:r>
    </w:p>
    <w:p w14:paraId="126D1E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采用“电子招投标交易平台”</w:t>
      </w:r>
      <w:r>
        <w:rPr>
          <w:rFonts w:hint="eastAsia" w:ascii="宋体" w:hAnsi="宋体" w:cs="宋体"/>
          <w:highlight w:val="none"/>
        </w:rPr>
        <w:t xml:space="preserve"> </w:t>
      </w:r>
      <w:r>
        <w:rPr>
          <w:rFonts w:hint="eastAsia" w:ascii="宋体" w:hAnsi="宋体" w:cs="宋体"/>
          <w:snapToGrid w:val="0"/>
          <w:kern w:val="0"/>
          <w:highlight w:val="none"/>
        </w:rPr>
        <w:t>招标投标的，招标文件及对招标文件所作的澄清、修改为数据电文形式，须使用“电子招投标交易平台”提供的专用工具软件编制。</w:t>
      </w:r>
    </w:p>
    <w:p w14:paraId="7F29A7A2">
      <w:pPr>
        <w:pStyle w:val="5"/>
        <w:spacing w:before="0" w:after="0" w:line="400" w:lineRule="exact"/>
        <w:jc w:val="left"/>
        <w:rPr>
          <w:rFonts w:hint="eastAsia" w:ascii="宋体" w:hAnsi="宋体" w:cs="宋体"/>
          <w:kern w:val="2"/>
          <w:highlight w:val="none"/>
        </w:rPr>
      </w:pPr>
      <w:bookmarkStart w:id="96" w:name="_Toc93403961"/>
      <w:bookmarkStart w:id="97" w:name="_Toc21735"/>
      <w:bookmarkStart w:id="98" w:name="_Toc15631"/>
      <w:r>
        <w:rPr>
          <w:rFonts w:hint="eastAsia" w:ascii="宋体" w:hAnsi="宋体" w:cs="宋体"/>
          <w:kern w:val="2"/>
          <w:highlight w:val="none"/>
        </w:rPr>
        <w:t>2.2招标文件的澄清和修改</w:t>
      </w:r>
      <w:bookmarkEnd w:id="96"/>
      <w:bookmarkEnd w:id="97"/>
      <w:bookmarkEnd w:id="98"/>
    </w:p>
    <w:p w14:paraId="7C10F54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2.2.1投标人应仔细阅读和检查招标文件的全部内容。如发现内容不全，应及时向招标人提出，以便补齐。如有疑问，应在投标人须知前附表规定的时间前，要求招标人对招标文件予以澄清。</w:t>
      </w:r>
    </w:p>
    <w:p w14:paraId="319E6F5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2.2.2招标文件的澄清和修改将在投标人须知前附表规定的投标截止时间15天前，招标人通过</w:t>
      </w:r>
      <w:r>
        <w:rPr>
          <w:rFonts w:hint="eastAsia" w:ascii="宋体" w:hAnsi="宋体" w:cs="宋体"/>
          <w:snapToGrid w:val="0"/>
          <w:kern w:val="0"/>
          <w:highlight w:val="none"/>
          <w:lang w:val="en-US" w:eastAsia="zh-CN"/>
        </w:rPr>
        <w:t>原公告</w:t>
      </w:r>
      <w:r>
        <w:rPr>
          <w:rFonts w:hint="eastAsia" w:ascii="宋体" w:hAnsi="宋体" w:cs="宋体"/>
          <w:snapToGrid w:val="0"/>
          <w:kern w:val="0"/>
          <w:highlight w:val="none"/>
        </w:rPr>
        <w:t>发给所有购买招标文件的投标人，但不指明问题的来源。如果</w:t>
      </w:r>
      <w:r>
        <w:rPr>
          <w:rFonts w:hint="eastAsia" w:ascii="宋体" w:hAnsi="宋体" w:cs="宋体"/>
          <w:kern w:val="0"/>
          <w:szCs w:val="21"/>
          <w:highlight w:val="none"/>
        </w:rPr>
        <w:t>澄清的内容影响到投标文件的编制，且</w:t>
      </w:r>
      <w:r>
        <w:rPr>
          <w:rFonts w:hint="eastAsia" w:ascii="宋体" w:hAnsi="宋体" w:cs="宋体"/>
          <w:snapToGrid w:val="0"/>
          <w:kern w:val="0"/>
          <w:highlight w:val="none"/>
        </w:rPr>
        <w:t>澄清和修改发出的时间距投标截止时间不足15天，相应延长投标截止时间。</w:t>
      </w:r>
    </w:p>
    <w:p w14:paraId="262278F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2.2.3投标人应及时通过</w:t>
      </w:r>
      <w:r>
        <w:rPr>
          <w:rFonts w:hint="eastAsia" w:ascii="宋体" w:hAnsi="宋体" w:cs="宋体"/>
          <w:snapToGrid w:val="0"/>
          <w:kern w:val="0"/>
          <w:highlight w:val="none"/>
          <w:lang w:val="en-US" w:eastAsia="zh-CN"/>
        </w:rPr>
        <w:t>原平台</w:t>
      </w:r>
      <w:r>
        <w:rPr>
          <w:rFonts w:hint="eastAsia" w:ascii="宋体" w:hAnsi="宋体" w:cs="宋体"/>
          <w:snapToGrid w:val="0"/>
          <w:kern w:val="0"/>
          <w:highlight w:val="none"/>
        </w:rPr>
        <w:t>获取澄清和修改后的招标文件，未按澄清和修改后的招标文件编制的投标文件有可能无法递交，或者有可能被评标委员会否决。</w:t>
      </w:r>
    </w:p>
    <w:p w14:paraId="6630C54A">
      <w:pPr>
        <w:pStyle w:val="5"/>
        <w:spacing w:before="0" w:after="0" w:line="400" w:lineRule="exact"/>
        <w:jc w:val="left"/>
        <w:rPr>
          <w:rFonts w:hint="eastAsia" w:ascii="宋体" w:hAnsi="宋体" w:cs="宋体"/>
          <w:kern w:val="2"/>
          <w:highlight w:val="none"/>
        </w:rPr>
      </w:pPr>
      <w:bookmarkStart w:id="99" w:name="_Toc822"/>
      <w:bookmarkStart w:id="100" w:name="_Toc93403962"/>
      <w:bookmarkStart w:id="101" w:name="_Toc6724"/>
      <w:r>
        <w:rPr>
          <w:rFonts w:hint="eastAsia" w:ascii="宋体" w:hAnsi="宋体" w:cs="宋体"/>
          <w:kern w:val="2"/>
          <w:highlight w:val="none"/>
        </w:rPr>
        <w:t>3.投标文件</w:t>
      </w:r>
      <w:bookmarkEnd w:id="99"/>
      <w:bookmarkEnd w:id="100"/>
      <w:bookmarkEnd w:id="101"/>
    </w:p>
    <w:p w14:paraId="780D8FE1">
      <w:pPr>
        <w:pStyle w:val="5"/>
        <w:spacing w:before="0" w:after="0" w:line="400" w:lineRule="exact"/>
        <w:jc w:val="left"/>
        <w:rPr>
          <w:rFonts w:hint="eastAsia" w:ascii="宋体" w:hAnsi="宋体" w:cs="宋体"/>
          <w:kern w:val="2"/>
          <w:highlight w:val="none"/>
        </w:rPr>
      </w:pPr>
      <w:bookmarkStart w:id="102" w:name="_Toc26527"/>
      <w:bookmarkStart w:id="103" w:name="_Toc11422"/>
      <w:bookmarkStart w:id="104" w:name="_Toc93403963"/>
      <w:r>
        <w:rPr>
          <w:rFonts w:hint="eastAsia" w:ascii="宋体" w:hAnsi="宋体" w:cs="宋体"/>
          <w:kern w:val="2"/>
          <w:highlight w:val="none"/>
        </w:rPr>
        <w:t>3.1投标文件的组成</w:t>
      </w:r>
      <w:bookmarkEnd w:id="102"/>
      <w:bookmarkEnd w:id="103"/>
      <w:bookmarkEnd w:id="104"/>
    </w:p>
    <w:p w14:paraId="3B55AF7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3.1.1投标文件包括商务文件部分和技术文件部分。</w:t>
      </w:r>
    </w:p>
    <w:p w14:paraId="61382989">
      <w:pPr>
        <w:pStyle w:val="5"/>
        <w:spacing w:before="0" w:after="0" w:line="400" w:lineRule="exact"/>
        <w:jc w:val="left"/>
        <w:rPr>
          <w:rFonts w:hint="eastAsia" w:ascii="宋体" w:hAnsi="宋体" w:cs="宋体"/>
          <w:snapToGrid w:val="0"/>
          <w:highlight w:val="none"/>
        </w:rPr>
      </w:pPr>
      <w:bookmarkStart w:id="105" w:name="_Toc3455"/>
      <w:bookmarkStart w:id="106" w:name="_Toc18467"/>
      <w:bookmarkStart w:id="107" w:name="_Toc93403964"/>
      <w:r>
        <w:rPr>
          <w:rFonts w:hint="eastAsia" w:ascii="宋体" w:hAnsi="宋体" w:cs="宋体"/>
          <w:snapToGrid w:val="0"/>
          <w:highlight w:val="none"/>
        </w:rPr>
        <w:t>3.2全过程工程咨询服务费投标最高限价及投标报价</w:t>
      </w:r>
      <w:bookmarkEnd w:id="105"/>
      <w:bookmarkEnd w:id="106"/>
      <w:bookmarkEnd w:id="107"/>
    </w:p>
    <w:p w14:paraId="429E626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3.2.1全过程工程咨询服务费投标最高限价</w:t>
      </w:r>
      <w:r>
        <w:rPr>
          <w:rFonts w:hint="eastAsia" w:ascii="宋体" w:hAnsi="宋体" w:cs="宋体"/>
          <w:snapToGrid w:val="0"/>
          <w:kern w:val="0"/>
          <w:highlight w:val="none"/>
        </w:rPr>
        <w:t>见投标人须知前附表。</w:t>
      </w:r>
    </w:p>
    <w:p w14:paraId="5132105D">
      <w:pPr>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3.2.2报价报酬计价方式</w:t>
      </w:r>
      <w:r>
        <w:rPr>
          <w:rFonts w:hint="eastAsia" w:ascii="宋体" w:hAnsi="宋体" w:cs="宋体"/>
          <w:snapToGrid w:val="0"/>
          <w:kern w:val="0"/>
          <w:highlight w:val="none"/>
        </w:rPr>
        <w:t>见投标人须知前附表</w:t>
      </w:r>
      <w:r>
        <w:rPr>
          <w:rFonts w:hint="eastAsia" w:ascii="宋体" w:hAnsi="宋体" w:cs="宋体"/>
          <w:kern w:val="0"/>
          <w:szCs w:val="21"/>
          <w:highlight w:val="none"/>
        </w:rPr>
        <w:t>。</w:t>
      </w:r>
    </w:p>
    <w:p w14:paraId="08AA9EC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3.2.3投标报价应包含在全过程工程咨询服务期内完成本招标文件所列全过程工程咨询服务范围全部全过程工程咨询服务工作内容所需的所有费用</w:t>
      </w:r>
      <w:r>
        <w:rPr>
          <w:rFonts w:hint="eastAsia" w:ascii="宋体" w:hAnsi="宋体" w:cs="宋体"/>
          <w:snapToGrid w:val="0"/>
          <w:kern w:val="0"/>
          <w:highlight w:val="none"/>
        </w:rPr>
        <w:t>。</w:t>
      </w:r>
    </w:p>
    <w:p w14:paraId="149AB7E0">
      <w:pPr>
        <w:pStyle w:val="5"/>
        <w:spacing w:before="0" w:after="0" w:line="400" w:lineRule="exact"/>
        <w:jc w:val="left"/>
        <w:rPr>
          <w:rFonts w:hint="eastAsia" w:ascii="宋体" w:hAnsi="宋体" w:cs="宋体"/>
          <w:snapToGrid w:val="0"/>
          <w:highlight w:val="none"/>
        </w:rPr>
      </w:pPr>
      <w:bookmarkStart w:id="108" w:name="_Toc10759"/>
      <w:bookmarkStart w:id="109" w:name="_Toc93403965"/>
      <w:bookmarkStart w:id="110" w:name="_Toc8573"/>
      <w:r>
        <w:rPr>
          <w:rFonts w:hint="eastAsia" w:ascii="宋体" w:hAnsi="宋体" w:cs="宋体"/>
          <w:snapToGrid w:val="0"/>
          <w:highlight w:val="none"/>
        </w:rPr>
        <w:t>3.3投标有效期</w:t>
      </w:r>
      <w:bookmarkEnd w:id="108"/>
      <w:bookmarkEnd w:id="109"/>
      <w:bookmarkEnd w:id="110"/>
    </w:p>
    <w:p w14:paraId="0E8CD5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3.3.1</w:t>
      </w:r>
      <w:r>
        <w:rPr>
          <w:rFonts w:hint="eastAsia" w:ascii="宋体" w:hAnsi="宋体" w:cs="宋体"/>
          <w:kern w:val="0"/>
          <w:szCs w:val="21"/>
          <w:highlight w:val="none"/>
        </w:rPr>
        <w:t>投标有效期从投标人提交投标文件截止之日起计算。</w:t>
      </w:r>
      <w:r>
        <w:rPr>
          <w:rFonts w:hint="eastAsia" w:ascii="宋体" w:hAnsi="宋体" w:cs="宋体"/>
          <w:snapToGrid w:val="0"/>
          <w:kern w:val="0"/>
          <w:highlight w:val="none"/>
        </w:rPr>
        <w:t>在投标人须知前附表规定的投标有效期内，投标人不得要求撤销或修改其投标文件。</w:t>
      </w:r>
    </w:p>
    <w:p w14:paraId="4BF8D9B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3.3.2</w:t>
      </w:r>
      <w:r>
        <w:rPr>
          <w:rFonts w:hint="eastAsia" w:ascii="宋体" w:hAnsi="宋体" w:cs="宋体"/>
          <w:kern w:val="0"/>
          <w:szCs w:val="21"/>
          <w:highlight w:val="none"/>
        </w:rPr>
        <w:t>在本招标文件规定的投标有效期结束前，出现特殊情况的，</w:t>
      </w:r>
      <w:r>
        <w:rPr>
          <w:rFonts w:hint="eastAsia" w:ascii="宋体" w:hAnsi="宋体" w:cs="宋体"/>
          <w:snapToGrid w:val="0"/>
          <w:kern w:val="0"/>
          <w:highlight w:val="none"/>
        </w:rPr>
        <w:t>招标人将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24C526C9">
      <w:pPr>
        <w:pStyle w:val="5"/>
        <w:spacing w:before="0" w:after="0" w:line="400" w:lineRule="exact"/>
        <w:jc w:val="left"/>
        <w:rPr>
          <w:rFonts w:hint="eastAsia" w:ascii="宋体" w:hAnsi="宋体" w:cs="宋体"/>
          <w:snapToGrid w:val="0"/>
          <w:highlight w:val="none"/>
        </w:rPr>
      </w:pPr>
      <w:bookmarkStart w:id="111" w:name="_Toc8831"/>
      <w:bookmarkStart w:id="112" w:name="_Toc93403966"/>
      <w:bookmarkStart w:id="113" w:name="_Toc6100"/>
      <w:r>
        <w:rPr>
          <w:rFonts w:hint="eastAsia" w:ascii="宋体" w:hAnsi="宋体" w:cs="宋体"/>
          <w:snapToGrid w:val="0"/>
          <w:highlight w:val="none"/>
        </w:rPr>
        <w:t>3.4投标保证金</w:t>
      </w:r>
      <w:bookmarkEnd w:id="111"/>
      <w:bookmarkEnd w:id="112"/>
      <w:bookmarkEnd w:id="113"/>
    </w:p>
    <w:p w14:paraId="3A6DB6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3.4.1投标人应在投标截止时间前按投标人须知前附表规定的金额、形式，递交投标保证金并将保证金缴纳赁证编入标书相应位置。</w:t>
      </w:r>
    </w:p>
    <w:p w14:paraId="1E05D388">
      <w:pPr>
        <w:spacing w:line="40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3.4.2</w:t>
      </w:r>
      <w:r>
        <w:rPr>
          <w:rFonts w:hint="eastAsia" w:ascii="宋体" w:hAnsi="宋体" w:cs="宋体"/>
          <w:snapToGrid w:val="0"/>
          <w:kern w:val="0"/>
          <w:highlight w:val="none"/>
        </w:rPr>
        <w:t>联合体投标的，其投标保证金由牵头方递交，并应符合3.4.1的规定。</w:t>
      </w:r>
    </w:p>
    <w:p w14:paraId="2C9E521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3.4.3有下列情形之一的，投标保证金将不予退还：</w:t>
      </w:r>
    </w:p>
    <w:p w14:paraId="50C0749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(1)投标人在规定的投标有效期内撤销或修改其投标文件；</w:t>
      </w:r>
    </w:p>
    <w:p w14:paraId="02462AE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(2)中标通知书发出后，中标人无正当理由拒签合同协议书或未按招标文件规定提交履约担保；</w:t>
      </w:r>
    </w:p>
    <w:p w14:paraId="58E8125E">
      <w:pPr>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(3)中标通知书发出后，中标人放弃中标项目的；</w:t>
      </w:r>
    </w:p>
    <w:p w14:paraId="5A157A1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(4)中标人在签订合同时向招标人提出附加条件或者更改合同实质性内容的。</w:t>
      </w:r>
    </w:p>
    <w:p w14:paraId="04F8A776">
      <w:pPr>
        <w:pStyle w:val="5"/>
        <w:spacing w:before="0" w:after="0" w:line="400" w:lineRule="exact"/>
        <w:jc w:val="left"/>
        <w:rPr>
          <w:rFonts w:hint="eastAsia" w:ascii="宋体" w:hAnsi="宋体" w:cs="宋体"/>
          <w:snapToGrid w:val="0"/>
          <w:highlight w:val="none"/>
        </w:rPr>
      </w:pPr>
      <w:bookmarkStart w:id="114" w:name="_Toc17354"/>
      <w:bookmarkStart w:id="115" w:name="_Toc23372"/>
      <w:bookmarkStart w:id="116" w:name="_Toc93403967"/>
      <w:r>
        <w:rPr>
          <w:rFonts w:hint="eastAsia" w:ascii="宋体" w:hAnsi="宋体" w:cs="宋体"/>
          <w:snapToGrid w:val="0"/>
          <w:highlight w:val="none"/>
        </w:rPr>
        <w:t>3.5投标文件中商务文件资料要求</w:t>
      </w:r>
      <w:bookmarkEnd w:id="114"/>
      <w:bookmarkEnd w:id="115"/>
      <w:bookmarkEnd w:id="116"/>
    </w:p>
    <w:p w14:paraId="523CFFB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3.5.1“投标人基本情况表”须附投标人营业执照、资质证书等材料。</w:t>
      </w:r>
    </w:p>
    <w:p w14:paraId="092A922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3.5.2“全过程工程咨询服务机构人员组成”须附全过程工程咨询服务项目总负责人、其他全过程工程咨询服务人员的资格证书、社保证明等材料。</w:t>
      </w:r>
    </w:p>
    <w:p w14:paraId="4136B6D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3.5.3“业绩资料表”须附中标通知书（如有）、合同协议书等材料。</w:t>
      </w:r>
    </w:p>
    <w:p w14:paraId="6B12396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3.5.4“荣誉、信用资料表”须附获奖证明或相关荣誉、信用证书（证明文件）。</w:t>
      </w:r>
    </w:p>
    <w:p w14:paraId="35317E6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3.5.5投标人须知前附表规定接受联合体投标的，本章第3.5.1项至第3.5.4项规定的表格和资料应包括联合体各方相关情况。</w:t>
      </w:r>
    </w:p>
    <w:p w14:paraId="5C9B1999">
      <w:pPr>
        <w:pStyle w:val="5"/>
        <w:spacing w:before="0" w:after="0" w:line="400" w:lineRule="exact"/>
        <w:jc w:val="left"/>
        <w:rPr>
          <w:rFonts w:hint="eastAsia" w:ascii="宋体" w:hAnsi="宋体" w:cs="宋体"/>
          <w:snapToGrid w:val="0"/>
          <w:highlight w:val="none"/>
        </w:rPr>
      </w:pPr>
      <w:bookmarkStart w:id="117" w:name="_Toc28558"/>
      <w:bookmarkStart w:id="118" w:name="_Toc9497"/>
      <w:bookmarkStart w:id="119" w:name="_Toc93403968"/>
      <w:r>
        <w:rPr>
          <w:rFonts w:hint="eastAsia" w:ascii="宋体" w:hAnsi="宋体" w:cs="宋体"/>
          <w:snapToGrid w:val="0"/>
          <w:highlight w:val="none"/>
        </w:rPr>
        <w:t>3.6备选投标方案</w:t>
      </w:r>
      <w:bookmarkEnd w:id="117"/>
      <w:bookmarkEnd w:id="118"/>
      <w:bookmarkEnd w:id="119"/>
    </w:p>
    <w:p w14:paraId="4531E78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268B59C5">
      <w:pPr>
        <w:pStyle w:val="5"/>
        <w:spacing w:before="0" w:after="0" w:line="400" w:lineRule="exact"/>
        <w:jc w:val="left"/>
        <w:rPr>
          <w:rFonts w:hint="eastAsia" w:ascii="宋体" w:hAnsi="宋体" w:cs="宋体"/>
          <w:snapToGrid w:val="0"/>
          <w:highlight w:val="none"/>
        </w:rPr>
      </w:pPr>
      <w:bookmarkStart w:id="120" w:name="_Toc8893"/>
      <w:bookmarkStart w:id="121" w:name="_Toc93403969"/>
      <w:bookmarkStart w:id="122" w:name="_Toc13314"/>
      <w:r>
        <w:rPr>
          <w:rFonts w:hint="eastAsia" w:ascii="宋体" w:hAnsi="宋体" w:cs="宋体"/>
          <w:snapToGrid w:val="0"/>
          <w:highlight w:val="none"/>
        </w:rPr>
        <w:t>3.7投标文件的编制</w:t>
      </w:r>
      <w:bookmarkEnd w:id="120"/>
      <w:bookmarkEnd w:id="121"/>
      <w:bookmarkEnd w:id="122"/>
    </w:p>
    <w:p w14:paraId="4AFF917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3.7.1投标文件须按第六章“投标文件格式”编制。</w:t>
      </w:r>
    </w:p>
    <w:p w14:paraId="6635397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3.7.2投标文件应当对招标文件有关全过程工程咨询服务期、投标有效期、投标报价、全过程工程咨询服务目标要求、技术标准和要求、招标范围等实质性内容作出响应。其中，投标函附录在满足招标文件实质性要求的基础上，可以提出比招标文件要求更有利于招标人的承诺。</w:t>
      </w:r>
    </w:p>
    <w:p w14:paraId="22EB0325">
      <w:pPr>
        <w:pStyle w:val="5"/>
        <w:spacing w:before="0" w:after="0" w:line="400" w:lineRule="exact"/>
        <w:jc w:val="left"/>
        <w:rPr>
          <w:rFonts w:hint="eastAsia" w:ascii="宋体" w:hAnsi="宋体" w:cs="宋体"/>
          <w:snapToGrid w:val="0"/>
          <w:highlight w:val="none"/>
        </w:rPr>
      </w:pPr>
      <w:bookmarkStart w:id="123" w:name="_Toc398111645"/>
      <w:bookmarkStart w:id="124" w:name="_Toc93403970"/>
      <w:bookmarkStart w:id="125" w:name="_Toc17261"/>
      <w:bookmarkStart w:id="126" w:name="_Toc1928"/>
      <w:bookmarkStart w:id="127" w:name="_Toc25361"/>
      <w:r>
        <w:rPr>
          <w:rFonts w:hint="eastAsia" w:ascii="宋体" w:hAnsi="宋体" w:cs="宋体"/>
          <w:snapToGrid w:val="0"/>
          <w:highlight w:val="none"/>
        </w:rPr>
        <w:t>3.8暗标</w:t>
      </w:r>
      <w:bookmarkEnd w:id="123"/>
      <w:bookmarkEnd w:id="124"/>
      <w:bookmarkEnd w:id="125"/>
      <w:bookmarkEnd w:id="126"/>
      <w:bookmarkEnd w:id="127"/>
    </w:p>
    <w:p w14:paraId="2CE465A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投标人须知前附表规定全过程工程咨询</w:t>
      </w:r>
      <w:r>
        <w:rPr>
          <w:rFonts w:hint="eastAsia" w:ascii="宋体" w:hAnsi="宋体" w:cs="宋体"/>
          <w:snapToGrid w:val="0"/>
          <w:kern w:val="0"/>
          <w:highlight w:val="none"/>
        </w:rPr>
        <w:t>服务实</w:t>
      </w:r>
      <w:r>
        <w:rPr>
          <w:rFonts w:hint="eastAsia" w:ascii="宋体" w:hAnsi="宋体" w:cs="宋体"/>
          <w:kern w:val="0"/>
          <w:szCs w:val="21"/>
          <w:highlight w:val="none"/>
        </w:rPr>
        <w:t>施方案采用暗标评审的，投标人应严格按照 “投标人须知前附表”规定的暗标编制要求编制全过程工程咨询</w:t>
      </w:r>
      <w:r>
        <w:rPr>
          <w:rFonts w:hint="eastAsia" w:ascii="宋体" w:hAnsi="宋体" w:cs="宋体"/>
          <w:snapToGrid w:val="0"/>
          <w:kern w:val="0"/>
          <w:highlight w:val="none"/>
        </w:rPr>
        <w:t>服务实</w:t>
      </w:r>
      <w:r>
        <w:rPr>
          <w:rFonts w:hint="eastAsia" w:ascii="宋体" w:hAnsi="宋体" w:cs="宋体"/>
          <w:kern w:val="0"/>
          <w:szCs w:val="21"/>
          <w:highlight w:val="none"/>
        </w:rPr>
        <w:t>施方案。</w:t>
      </w:r>
    </w:p>
    <w:p w14:paraId="511C8EE2">
      <w:pPr>
        <w:pStyle w:val="5"/>
        <w:spacing w:before="0" w:after="0" w:line="400" w:lineRule="exact"/>
        <w:jc w:val="left"/>
        <w:rPr>
          <w:rFonts w:hint="eastAsia" w:ascii="宋体" w:hAnsi="宋体" w:cs="宋体"/>
          <w:snapToGrid w:val="0"/>
          <w:highlight w:val="none"/>
        </w:rPr>
      </w:pPr>
      <w:bookmarkStart w:id="128" w:name="_Toc22934"/>
      <w:bookmarkStart w:id="129" w:name="_Toc93403971"/>
      <w:bookmarkStart w:id="130" w:name="_Toc31906"/>
      <w:r>
        <w:rPr>
          <w:rFonts w:hint="eastAsia" w:ascii="宋体" w:hAnsi="宋体" w:cs="宋体"/>
          <w:snapToGrid w:val="0"/>
          <w:highlight w:val="none"/>
        </w:rPr>
        <w:t>4.投标</w:t>
      </w:r>
      <w:bookmarkEnd w:id="128"/>
      <w:bookmarkEnd w:id="129"/>
      <w:bookmarkEnd w:id="130"/>
    </w:p>
    <w:p w14:paraId="4FA25E6D">
      <w:pPr>
        <w:pStyle w:val="5"/>
        <w:spacing w:before="0" w:after="0" w:line="400" w:lineRule="exact"/>
        <w:jc w:val="left"/>
        <w:rPr>
          <w:rFonts w:hint="eastAsia" w:ascii="宋体" w:hAnsi="宋体" w:cs="宋体"/>
          <w:snapToGrid w:val="0"/>
          <w:highlight w:val="none"/>
        </w:rPr>
      </w:pPr>
      <w:bookmarkStart w:id="131" w:name="_Toc93403972"/>
      <w:bookmarkStart w:id="132" w:name="_Toc15618"/>
      <w:bookmarkStart w:id="133" w:name="_Toc31134"/>
      <w:r>
        <w:rPr>
          <w:rFonts w:hint="eastAsia" w:ascii="宋体" w:hAnsi="宋体" w:cs="宋体"/>
          <w:snapToGrid w:val="0"/>
          <w:highlight w:val="none"/>
        </w:rPr>
        <w:t>4.1投标文件的签章和加密</w:t>
      </w:r>
      <w:bookmarkEnd w:id="131"/>
      <w:bookmarkEnd w:id="132"/>
      <w:bookmarkEnd w:id="133"/>
    </w:p>
    <w:p w14:paraId="230D4BC6">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4.1.1投标人应对其投标文件签章和密封。</w:t>
      </w:r>
    </w:p>
    <w:p w14:paraId="5020AC0B">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zCs w:val="21"/>
          <w:highlight w:val="none"/>
        </w:rPr>
        <w:t>4.1.2投标文件应密封包装，加贴封条，并在封套的封口处加盖投标人单位章，封套上应写明的其他内容见投标人须知前附表。</w:t>
      </w:r>
    </w:p>
    <w:p w14:paraId="1074F5EB">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4.1.3未按本章第4.1.1项或</w:t>
      </w:r>
      <w:r>
        <w:rPr>
          <w:rFonts w:hint="eastAsia" w:ascii="宋体" w:hAnsi="宋体" w:cs="宋体"/>
          <w:szCs w:val="21"/>
          <w:highlight w:val="none"/>
        </w:rPr>
        <w:t>4.1.2项</w:t>
      </w:r>
      <w:r>
        <w:rPr>
          <w:rFonts w:hint="eastAsia" w:ascii="宋体" w:hAnsi="宋体" w:cs="宋体"/>
          <w:snapToGrid w:val="0"/>
          <w:kern w:val="0"/>
          <w:szCs w:val="21"/>
          <w:highlight w:val="none"/>
        </w:rPr>
        <w:t>要求的投标文件，招标人不予受理。</w:t>
      </w:r>
    </w:p>
    <w:p w14:paraId="720AFCA1">
      <w:pPr>
        <w:pStyle w:val="5"/>
        <w:spacing w:before="0" w:after="0" w:line="400" w:lineRule="exact"/>
        <w:jc w:val="left"/>
        <w:rPr>
          <w:rFonts w:hint="eastAsia" w:ascii="宋体" w:hAnsi="宋体" w:cs="宋体"/>
          <w:snapToGrid w:val="0"/>
          <w:highlight w:val="none"/>
        </w:rPr>
      </w:pPr>
      <w:bookmarkStart w:id="134" w:name="_Toc93403973"/>
      <w:bookmarkStart w:id="135" w:name="_Toc4299"/>
      <w:bookmarkStart w:id="136" w:name="_Toc20585"/>
      <w:r>
        <w:rPr>
          <w:rFonts w:hint="eastAsia" w:ascii="宋体" w:hAnsi="宋体" w:cs="宋体"/>
          <w:snapToGrid w:val="0"/>
          <w:highlight w:val="none"/>
        </w:rPr>
        <w:t>4.2投标文件的递交</w:t>
      </w:r>
      <w:bookmarkEnd w:id="134"/>
      <w:bookmarkEnd w:id="135"/>
      <w:bookmarkEnd w:id="136"/>
    </w:p>
    <w:p w14:paraId="2A8A988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4.2.1投标人应在本章第2.2.2项规定的投标截止时间前递交投标文件。投标截止时间前未</w:t>
      </w:r>
      <w:r>
        <w:rPr>
          <w:rFonts w:hint="eastAsia" w:ascii="宋体" w:hAnsi="宋体" w:cs="宋体"/>
          <w:snapToGrid w:val="0"/>
          <w:kern w:val="0"/>
          <w:highlight w:val="none"/>
          <w:lang w:val="en-US" w:eastAsia="zh-CN"/>
        </w:rPr>
        <w:t>递交</w:t>
      </w:r>
      <w:r>
        <w:rPr>
          <w:rFonts w:hint="eastAsia" w:ascii="宋体" w:hAnsi="宋体" w:cs="宋体"/>
          <w:snapToGrid w:val="0"/>
          <w:kern w:val="0"/>
          <w:highlight w:val="none"/>
        </w:rPr>
        <w:t>投标文件的，视为未投标。</w:t>
      </w:r>
    </w:p>
    <w:p w14:paraId="220A96E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4.2.2投标人递交投标文件的地点：见投标人须知前附表。</w:t>
      </w:r>
    </w:p>
    <w:p w14:paraId="0B4C4C0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4.2.3投标人所递交的投标文件不予退还。</w:t>
      </w:r>
    </w:p>
    <w:p w14:paraId="090C704C">
      <w:pPr>
        <w:pStyle w:val="5"/>
        <w:spacing w:before="0" w:after="0" w:line="400" w:lineRule="exact"/>
        <w:jc w:val="left"/>
        <w:rPr>
          <w:rFonts w:hint="eastAsia" w:ascii="宋体" w:hAnsi="宋体" w:cs="宋体"/>
          <w:snapToGrid w:val="0"/>
          <w:highlight w:val="none"/>
        </w:rPr>
      </w:pPr>
      <w:bookmarkStart w:id="137" w:name="_Toc93403974"/>
      <w:bookmarkStart w:id="138" w:name="_Toc19476"/>
      <w:bookmarkStart w:id="139" w:name="_Toc15071"/>
      <w:r>
        <w:rPr>
          <w:rFonts w:hint="eastAsia" w:ascii="宋体" w:hAnsi="宋体" w:cs="宋体"/>
          <w:snapToGrid w:val="0"/>
          <w:highlight w:val="none"/>
        </w:rPr>
        <w:t>4.3投标文件的修改与撤回</w:t>
      </w:r>
      <w:bookmarkEnd w:id="137"/>
      <w:bookmarkEnd w:id="138"/>
      <w:bookmarkEnd w:id="139"/>
    </w:p>
    <w:p w14:paraId="3D3CD45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4.3.1在</w:t>
      </w:r>
      <w:r>
        <w:rPr>
          <w:rFonts w:hint="eastAsia" w:ascii="宋体" w:hAnsi="宋体" w:cs="宋体"/>
          <w:kern w:val="0"/>
          <w:szCs w:val="21"/>
          <w:highlight w:val="none"/>
        </w:rPr>
        <w:t>招标文件</w:t>
      </w:r>
      <w:r>
        <w:rPr>
          <w:rFonts w:hint="eastAsia" w:ascii="宋体" w:hAnsi="宋体" w:cs="宋体"/>
          <w:snapToGrid w:val="0"/>
          <w:kern w:val="0"/>
          <w:highlight w:val="none"/>
        </w:rPr>
        <w:t>规定的投标截止时间前，投标人可以修改或撤回已递交的投标文件。</w:t>
      </w:r>
    </w:p>
    <w:p w14:paraId="61AB31C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4.3.3</w:t>
      </w:r>
      <w:r>
        <w:rPr>
          <w:rFonts w:hint="eastAsia" w:ascii="宋体" w:hAnsi="宋体" w:cs="宋体"/>
          <w:kern w:val="0"/>
          <w:szCs w:val="21"/>
          <w:highlight w:val="none"/>
        </w:rPr>
        <w:t>修改的内容为投标文件的组成部分。</w:t>
      </w:r>
      <w:r>
        <w:rPr>
          <w:rFonts w:hint="eastAsia" w:ascii="宋体" w:hAnsi="宋体" w:cs="宋体"/>
          <w:snapToGrid w:val="0"/>
          <w:kern w:val="0"/>
          <w:highlight w:val="none"/>
        </w:rPr>
        <w:t>修改的投标文件应按照本章第3条、第4条规定进行编制和递交。</w:t>
      </w:r>
    </w:p>
    <w:p w14:paraId="7FA151CB">
      <w:pPr>
        <w:pStyle w:val="5"/>
        <w:spacing w:before="0" w:after="0" w:line="400" w:lineRule="exact"/>
        <w:jc w:val="left"/>
        <w:rPr>
          <w:rFonts w:hint="eastAsia" w:ascii="宋体" w:hAnsi="宋体" w:cs="宋体"/>
          <w:snapToGrid w:val="0"/>
          <w:highlight w:val="none"/>
        </w:rPr>
      </w:pPr>
      <w:bookmarkStart w:id="140" w:name="_Toc24522"/>
      <w:bookmarkStart w:id="141" w:name="_Toc93403975"/>
      <w:bookmarkStart w:id="142" w:name="_Toc10974"/>
      <w:r>
        <w:rPr>
          <w:rFonts w:hint="eastAsia" w:ascii="宋体" w:hAnsi="宋体" w:cs="宋体"/>
          <w:snapToGrid w:val="0"/>
          <w:highlight w:val="none"/>
        </w:rPr>
        <w:t>5.开标</w:t>
      </w:r>
      <w:bookmarkEnd w:id="140"/>
      <w:bookmarkEnd w:id="141"/>
      <w:bookmarkEnd w:id="142"/>
    </w:p>
    <w:p w14:paraId="6ACBC2EB">
      <w:pPr>
        <w:pStyle w:val="5"/>
        <w:spacing w:before="0" w:after="0" w:line="400" w:lineRule="exact"/>
        <w:jc w:val="left"/>
        <w:rPr>
          <w:rFonts w:hint="eastAsia" w:ascii="宋体" w:hAnsi="宋体" w:cs="宋体"/>
          <w:snapToGrid w:val="0"/>
          <w:highlight w:val="none"/>
        </w:rPr>
      </w:pPr>
      <w:bookmarkStart w:id="143" w:name="_Toc3398"/>
      <w:bookmarkStart w:id="144" w:name="_Toc93403976"/>
      <w:bookmarkStart w:id="145" w:name="_Toc25418"/>
      <w:r>
        <w:rPr>
          <w:rFonts w:hint="eastAsia" w:ascii="宋体" w:hAnsi="宋体" w:cs="宋体"/>
          <w:snapToGrid w:val="0"/>
          <w:highlight w:val="none"/>
        </w:rPr>
        <w:t>5.1开标时间和地点</w:t>
      </w:r>
      <w:bookmarkEnd w:id="143"/>
      <w:bookmarkEnd w:id="144"/>
      <w:bookmarkEnd w:id="145"/>
    </w:p>
    <w:p w14:paraId="26019A0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5.1.1</w:t>
      </w:r>
      <w:bookmarkStart w:id="146" w:name="网上开标5"/>
      <w:r>
        <w:rPr>
          <w:rFonts w:hint="eastAsia" w:ascii="宋体" w:hAnsi="宋体" w:cs="宋体"/>
          <w:snapToGrid w:val="0"/>
          <w:kern w:val="0"/>
          <w:highlight w:val="none"/>
        </w:rPr>
        <w:t>招标人在投标人须知前附表规定的开标时间和地点进行开标，所有投标人应在投标截止前参加开标会。</w:t>
      </w:r>
      <w:bookmarkEnd w:id="146"/>
    </w:p>
    <w:p w14:paraId="267F8EC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5.1.2投标人参加开标会人员要求：</w:t>
      </w:r>
      <w:r>
        <w:rPr>
          <w:rFonts w:hint="eastAsia" w:ascii="宋体" w:hAnsi="宋体" w:cs="宋体"/>
          <w:snapToGrid w:val="0"/>
          <w:kern w:val="0"/>
          <w:szCs w:val="21"/>
          <w:highlight w:val="none"/>
        </w:rPr>
        <w:t>见投标人须知前附表</w:t>
      </w:r>
      <w:r>
        <w:rPr>
          <w:rFonts w:hint="eastAsia" w:ascii="宋体" w:hAnsi="宋体" w:cs="宋体"/>
          <w:snapToGrid w:val="0"/>
          <w:kern w:val="0"/>
          <w:highlight w:val="none"/>
        </w:rPr>
        <w:t>。</w:t>
      </w:r>
    </w:p>
    <w:p w14:paraId="06947E80">
      <w:pPr>
        <w:pStyle w:val="5"/>
        <w:spacing w:before="0" w:after="0" w:line="400" w:lineRule="exact"/>
        <w:jc w:val="left"/>
        <w:rPr>
          <w:rFonts w:hint="eastAsia" w:ascii="宋体" w:hAnsi="宋体" w:cs="宋体"/>
          <w:snapToGrid w:val="0"/>
          <w:highlight w:val="none"/>
        </w:rPr>
      </w:pPr>
      <w:bookmarkStart w:id="147" w:name="_Toc93403977"/>
      <w:bookmarkStart w:id="148" w:name="_Toc24325"/>
      <w:bookmarkStart w:id="149" w:name="_Toc7451"/>
      <w:r>
        <w:rPr>
          <w:rFonts w:hint="eastAsia" w:ascii="宋体" w:hAnsi="宋体" w:cs="宋体"/>
          <w:snapToGrid w:val="0"/>
          <w:highlight w:val="none"/>
        </w:rPr>
        <w:t>5.2开标程序</w:t>
      </w:r>
      <w:bookmarkEnd w:id="147"/>
      <w:bookmarkEnd w:id="148"/>
      <w:bookmarkEnd w:id="149"/>
    </w:p>
    <w:p w14:paraId="09C595B2">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5.2.1见投标人须知前附表。</w:t>
      </w:r>
    </w:p>
    <w:p w14:paraId="7C0C930B">
      <w:pPr>
        <w:pStyle w:val="5"/>
        <w:spacing w:before="0" w:after="0" w:line="400" w:lineRule="exact"/>
        <w:jc w:val="left"/>
        <w:rPr>
          <w:rFonts w:hint="eastAsia" w:ascii="宋体" w:hAnsi="宋体" w:cs="宋体"/>
          <w:snapToGrid w:val="0"/>
          <w:sz w:val="21"/>
          <w:szCs w:val="21"/>
          <w:highlight w:val="none"/>
        </w:rPr>
      </w:pPr>
      <w:bookmarkStart w:id="150" w:name="_Toc93403978"/>
      <w:bookmarkStart w:id="151" w:name="_Toc3679"/>
      <w:bookmarkStart w:id="152" w:name="_Toc25119"/>
      <w:r>
        <w:rPr>
          <w:rFonts w:hint="eastAsia" w:ascii="宋体" w:hAnsi="宋体" w:cs="宋体"/>
          <w:snapToGrid w:val="0"/>
          <w:sz w:val="21"/>
          <w:szCs w:val="21"/>
          <w:highlight w:val="none"/>
        </w:rPr>
        <w:t>5.3开标时出现下列情况的，招标人将拒绝其投标。</w:t>
      </w:r>
      <w:bookmarkEnd w:id="150"/>
      <w:bookmarkEnd w:id="151"/>
      <w:bookmarkEnd w:id="152"/>
    </w:p>
    <w:p w14:paraId="097214D8">
      <w:pPr>
        <w:spacing w:line="400" w:lineRule="exact"/>
        <w:ind w:firstLine="428" w:firstLineChars="204"/>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lang w:val="en-US" w:eastAsia="zh-CN"/>
        </w:rPr>
        <w:t>5.3.1</w:t>
      </w:r>
      <w:r>
        <w:rPr>
          <w:rFonts w:hint="eastAsia" w:ascii="宋体" w:hAnsi="宋体" w:cs="宋体"/>
          <w:snapToGrid w:val="0"/>
          <w:kern w:val="0"/>
          <w:szCs w:val="21"/>
          <w:highlight w:val="none"/>
        </w:rPr>
        <w:t>投标人未在前附表规定的时间内递交投标文件的。</w:t>
      </w:r>
    </w:p>
    <w:p w14:paraId="3C3DA1A3">
      <w:pPr>
        <w:pStyle w:val="5"/>
        <w:spacing w:before="0" w:after="0" w:line="400" w:lineRule="exact"/>
        <w:jc w:val="left"/>
        <w:rPr>
          <w:rFonts w:hint="eastAsia" w:ascii="宋体" w:hAnsi="宋体" w:cs="宋体"/>
          <w:snapToGrid w:val="0"/>
          <w:highlight w:val="none"/>
        </w:rPr>
      </w:pPr>
      <w:bookmarkStart w:id="153" w:name="_Toc10399"/>
      <w:bookmarkStart w:id="154" w:name="_Toc93403979"/>
      <w:bookmarkStart w:id="155" w:name="_Toc14590"/>
      <w:r>
        <w:rPr>
          <w:rFonts w:hint="eastAsia" w:ascii="宋体" w:hAnsi="宋体" w:cs="宋体"/>
          <w:snapToGrid w:val="0"/>
          <w:highlight w:val="none"/>
        </w:rPr>
        <w:t>6.评标</w:t>
      </w:r>
      <w:bookmarkEnd w:id="153"/>
      <w:bookmarkEnd w:id="154"/>
      <w:bookmarkEnd w:id="155"/>
    </w:p>
    <w:p w14:paraId="236EB42C">
      <w:pPr>
        <w:pStyle w:val="5"/>
        <w:spacing w:before="0" w:after="0" w:line="400" w:lineRule="exact"/>
        <w:jc w:val="left"/>
        <w:rPr>
          <w:rFonts w:hint="eastAsia" w:ascii="宋体" w:hAnsi="宋体" w:cs="宋体"/>
          <w:snapToGrid w:val="0"/>
          <w:highlight w:val="none"/>
        </w:rPr>
      </w:pPr>
      <w:bookmarkStart w:id="156" w:name="_Toc3496"/>
      <w:bookmarkStart w:id="157" w:name="_Toc23503"/>
      <w:bookmarkStart w:id="158" w:name="_Toc93403980"/>
      <w:r>
        <w:rPr>
          <w:rFonts w:hint="eastAsia" w:ascii="宋体" w:hAnsi="宋体" w:cs="宋体"/>
          <w:snapToGrid w:val="0"/>
          <w:highlight w:val="none"/>
        </w:rPr>
        <w:t>6.1评标委员会</w:t>
      </w:r>
      <w:bookmarkEnd w:id="156"/>
      <w:bookmarkEnd w:id="157"/>
      <w:bookmarkEnd w:id="158"/>
    </w:p>
    <w:p w14:paraId="6902BA2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6.1.1评标由招标人依法组建的评标委员会负责。</w:t>
      </w:r>
    </w:p>
    <w:p w14:paraId="14D994E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6.1.2评标委员会成员有下列情形之一的，应当回避：</w:t>
      </w:r>
    </w:p>
    <w:p w14:paraId="7A31A5E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w:t>
      </w:r>
      <w:r>
        <w:rPr>
          <w:rFonts w:hint="eastAsia" w:ascii="宋体" w:hAnsi="宋体" w:cs="宋体"/>
          <w:highlight w:val="none"/>
        </w:rPr>
        <w:t xml:space="preserve"> </w:t>
      </w:r>
      <w:r>
        <w:rPr>
          <w:rFonts w:hint="eastAsia" w:ascii="宋体" w:hAnsi="宋体" w:cs="宋体"/>
          <w:snapToGrid w:val="0"/>
          <w:kern w:val="0"/>
          <w:highlight w:val="none"/>
        </w:rPr>
        <w:t>投标人或投标人的主要负责人的近亲属；</w:t>
      </w:r>
    </w:p>
    <w:p w14:paraId="5DB655C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w:t>
      </w:r>
      <w:r>
        <w:rPr>
          <w:rFonts w:hint="eastAsia" w:ascii="宋体" w:hAnsi="宋体" w:cs="宋体"/>
          <w:highlight w:val="none"/>
        </w:rPr>
        <w:t xml:space="preserve"> </w:t>
      </w:r>
      <w:r>
        <w:rPr>
          <w:rFonts w:hint="eastAsia" w:ascii="宋体" w:hAnsi="宋体" w:cs="宋体"/>
          <w:snapToGrid w:val="0"/>
          <w:kern w:val="0"/>
          <w:highlight w:val="none"/>
        </w:rPr>
        <w:t>项目主管部门或者行政监督部门的人员；</w:t>
      </w:r>
    </w:p>
    <w:p w14:paraId="37066D0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(3)与投标人有经济利益关系，可能影响对投标公正评审的；</w:t>
      </w:r>
    </w:p>
    <w:p w14:paraId="0C91209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(4)曾因在招标、评标以及其他与招标投标有关活动中从事违法行为而受过行政处罚或刑事处罚期满之日起未满五年的。</w:t>
      </w:r>
    </w:p>
    <w:p w14:paraId="369C67DF">
      <w:pPr>
        <w:pStyle w:val="5"/>
        <w:spacing w:before="0" w:after="0" w:line="400" w:lineRule="exact"/>
        <w:jc w:val="left"/>
        <w:rPr>
          <w:rFonts w:hint="eastAsia" w:ascii="宋体" w:hAnsi="宋体" w:cs="宋体"/>
          <w:snapToGrid w:val="0"/>
          <w:highlight w:val="none"/>
        </w:rPr>
      </w:pPr>
      <w:bookmarkStart w:id="159" w:name="_Toc2399"/>
      <w:bookmarkStart w:id="160" w:name="_Toc93403981"/>
      <w:bookmarkStart w:id="161" w:name="_Toc25923"/>
      <w:r>
        <w:rPr>
          <w:rFonts w:hint="eastAsia" w:ascii="宋体" w:hAnsi="宋体" w:cs="宋体"/>
          <w:snapToGrid w:val="0"/>
          <w:highlight w:val="none"/>
        </w:rPr>
        <w:t>6.2评标原则</w:t>
      </w:r>
      <w:bookmarkEnd w:id="159"/>
      <w:bookmarkEnd w:id="160"/>
      <w:bookmarkEnd w:id="161"/>
    </w:p>
    <w:p w14:paraId="2949AB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评标活动遵循公平、公正、科学和择优的原则。</w:t>
      </w:r>
    </w:p>
    <w:p w14:paraId="0A36F805">
      <w:pPr>
        <w:pStyle w:val="5"/>
        <w:spacing w:before="0" w:after="0" w:line="400" w:lineRule="exact"/>
        <w:jc w:val="left"/>
        <w:rPr>
          <w:rFonts w:hint="eastAsia" w:ascii="宋体" w:hAnsi="宋体" w:cs="宋体"/>
          <w:snapToGrid w:val="0"/>
          <w:highlight w:val="none"/>
        </w:rPr>
      </w:pPr>
      <w:bookmarkStart w:id="162" w:name="_Toc9570"/>
      <w:bookmarkStart w:id="163" w:name="_Toc93403982"/>
      <w:bookmarkStart w:id="164" w:name="_Toc22648"/>
      <w:r>
        <w:rPr>
          <w:rFonts w:hint="eastAsia" w:ascii="宋体" w:hAnsi="宋体" w:cs="宋体"/>
          <w:snapToGrid w:val="0"/>
          <w:highlight w:val="none"/>
        </w:rPr>
        <w:t>6.3评标</w:t>
      </w:r>
      <w:bookmarkEnd w:id="162"/>
      <w:bookmarkEnd w:id="163"/>
      <w:bookmarkEnd w:id="164"/>
    </w:p>
    <w:p w14:paraId="79D581E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评标委员会按照第三章“评标办法”规定的方法、评审因素、标准和程序对投标文件进行评审。第三章“评标办法”没有规定的方法、评审因素和标准，不作为评标依据。</w:t>
      </w:r>
    </w:p>
    <w:p w14:paraId="0EE63E16">
      <w:pPr>
        <w:pStyle w:val="5"/>
        <w:spacing w:before="0" w:after="0" w:line="400" w:lineRule="exact"/>
        <w:jc w:val="left"/>
        <w:rPr>
          <w:rFonts w:hint="eastAsia" w:ascii="宋体" w:hAnsi="宋体" w:cs="宋体"/>
          <w:snapToGrid w:val="0"/>
          <w:highlight w:val="none"/>
        </w:rPr>
      </w:pPr>
      <w:bookmarkStart w:id="165" w:name="_Toc7268"/>
      <w:bookmarkStart w:id="166" w:name="_Toc93403983"/>
      <w:bookmarkStart w:id="167" w:name="_Toc30979"/>
      <w:r>
        <w:rPr>
          <w:rFonts w:hint="eastAsia" w:ascii="宋体" w:hAnsi="宋体" w:cs="宋体"/>
          <w:snapToGrid w:val="0"/>
          <w:highlight w:val="none"/>
        </w:rPr>
        <w:t>6.4评标结果公示</w:t>
      </w:r>
      <w:bookmarkEnd w:id="165"/>
      <w:bookmarkEnd w:id="166"/>
      <w:bookmarkEnd w:id="167"/>
    </w:p>
    <w:p w14:paraId="31E89581">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6.4.1 招标人在收到评标报告后在与招标公告相同的发布媒介上对评标结果进行公示。</w:t>
      </w:r>
    </w:p>
    <w:p w14:paraId="42BC429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6.4.2 投标人或者其他利害关系人对评标结果有异议的，应当在评标结果公示期间向招标人提出异议。招标人自收到异议之日起3个工作日内作出答复，并在作出答复前暂停招标投标活动。</w:t>
      </w:r>
    </w:p>
    <w:p w14:paraId="4B5374B2">
      <w:pPr>
        <w:pStyle w:val="5"/>
        <w:spacing w:before="0" w:after="0" w:line="400" w:lineRule="exact"/>
        <w:jc w:val="left"/>
        <w:rPr>
          <w:rFonts w:hint="eastAsia" w:ascii="宋体" w:hAnsi="宋体" w:cs="宋体"/>
          <w:snapToGrid w:val="0"/>
          <w:highlight w:val="none"/>
        </w:rPr>
      </w:pPr>
      <w:bookmarkStart w:id="168" w:name="_Toc1496"/>
      <w:bookmarkStart w:id="169" w:name="_Toc93403984"/>
      <w:bookmarkStart w:id="170" w:name="_Toc5415"/>
      <w:r>
        <w:rPr>
          <w:rFonts w:hint="eastAsia" w:ascii="宋体" w:hAnsi="宋体" w:cs="宋体"/>
          <w:snapToGrid w:val="0"/>
          <w:highlight w:val="none"/>
        </w:rPr>
        <w:t>7.合同授予</w:t>
      </w:r>
      <w:bookmarkEnd w:id="168"/>
      <w:bookmarkEnd w:id="169"/>
      <w:bookmarkEnd w:id="170"/>
    </w:p>
    <w:p w14:paraId="5BB0A256">
      <w:pPr>
        <w:pStyle w:val="5"/>
        <w:spacing w:before="0" w:after="0" w:line="400" w:lineRule="exact"/>
        <w:jc w:val="left"/>
        <w:rPr>
          <w:rFonts w:hint="eastAsia" w:ascii="宋体" w:hAnsi="宋体" w:cs="宋体"/>
          <w:snapToGrid w:val="0"/>
          <w:highlight w:val="none"/>
        </w:rPr>
      </w:pPr>
      <w:bookmarkStart w:id="171" w:name="_Toc5304"/>
      <w:bookmarkStart w:id="172" w:name="_Toc93403985"/>
      <w:bookmarkStart w:id="173" w:name="_Toc15648"/>
      <w:r>
        <w:rPr>
          <w:rFonts w:hint="eastAsia" w:ascii="宋体" w:hAnsi="宋体" w:cs="宋体"/>
          <w:snapToGrid w:val="0"/>
          <w:highlight w:val="none"/>
        </w:rPr>
        <w:t>7.1定标方式</w:t>
      </w:r>
      <w:bookmarkEnd w:id="171"/>
      <w:bookmarkEnd w:id="172"/>
      <w:bookmarkEnd w:id="173"/>
    </w:p>
    <w:p w14:paraId="225096A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除投标人须知前附表规定评标委员会直接确定中标人外，招标人依据评标委员会推荐的中标候选人确定中标人，</w:t>
      </w:r>
      <w:r>
        <w:rPr>
          <w:rFonts w:hint="eastAsia" w:ascii="宋体" w:hAnsi="宋体" w:cs="宋体"/>
          <w:kern w:val="0"/>
          <w:szCs w:val="21"/>
          <w:highlight w:val="none"/>
        </w:rPr>
        <w:t>评标委员会推荐中标候选人的人数不超过3个。</w:t>
      </w:r>
    </w:p>
    <w:p w14:paraId="08AF9315">
      <w:pPr>
        <w:pStyle w:val="5"/>
        <w:spacing w:before="0" w:after="0" w:line="400" w:lineRule="exact"/>
        <w:jc w:val="left"/>
        <w:rPr>
          <w:rFonts w:hint="eastAsia" w:ascii="宋体" w:hAnsi="宋体" w:cs="宋体"/>
          <w:snapToGrid w:val="0"/>
          <w:highlight w:val="none"/>
        </w:rPr>
      </w:pPr>
      <w:bookmarkStart w:id="174" w:name="_Toc24356"/>
      <w:bookmarkStart w:id="175" w:name="_Toc93403986"/>
      <w:bookmarkStart w:id="176" w:name="_Toc29223"/>
      <w:r>
        <w:rPr>
          <w:rFonts w:hint="eastAsia" w:ascii="宋体" w:hAnsi="宋体" w:cs="宋体"/>
          <w:snapToGrid w:val="0"/>
          <w:highlight w:val="none"/>
        </w:rPr>
        <w:t>7.2中标人公告及中标通知</w:t>
      </w:r>
      <w:bookmarkEnd w:id="174"/>
      <w:bookmarkEnd w:id="175"/>
      <w:bookmarkEnd w:id="176"/>
    </w:p>
    <w:p w14:paraId="52AA320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评标结果公示期间无异议的，招标人将在投标人须知前附表规定的投标有效期内将中标人名称、中标价和全过程工程咨询总负责人等信息在与招标公告相同的发布媒介上予以公告，并以书面形式向中标人发出中标通知书</w:t>
      </w:r>
      <w:r>
        <w:rPr>
          <w:rFonts w:hint="eastAsia" w:ascii="宋体" w:hAnsi="宋体" w:cs="宋体"/>
          <w:snapToGrid w:val="0"/>
          <w:kern w:val="0"/>
          <w:highlight w:val="none"/>
        </w:rPr>
        <w:t>。</w:t>
      </w:r>
    </w:p>
    <w:p w14:paraId="664DB5CB">
      <w:pPr>
        <w:pStyle w:val="5"/>
        <w:spacing w:before="0" w:after="0" w:line="400" w:lineRule="exact"/>
        <w:jc w:val="left"/>
        <w:rPr>
          <w:rFonts w:hint="eastAsia" w:ascii="宋体" w:hAnsi="宋体" w:cs="宋体"/>
          <w:snapToGrid w:val="0"/>
          <w:highlight w:val="none"/>
        </w:rPr>
      </w:pPr>
      <w:bookmarkStart w:id="177" w:name="_Toc14441"/>
      <w:bookmarkStart w:id="178" w:name="_Toc93403987"/>
      <w:bookmarkStart w:id="179" w:name="_Toc15859"/>
      <w:r>
        <w:rPr>
          <w:rFonts w:hint="eastAsia" w:ascii="宋体" w:hAnsi="宋体" w:cs="宋体"/>
          <w:snapToGrid w:val="0"/>
          <w:highlight w:val="none"/>
        </w:rPr>
        <w:t>7.3履约担保</w:t>
      </w:r>
      <w:bookmarkEnd w:id="177"/>
      <w:bookmarkEnd w:id="178"/>
      <w:bookmarkEnd w:id="179"/>
    </w:p>
    <w:p w14:paraId="4E440DA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7.3.1在签订合同前，中标人应按投标人须知前附表规定的金额、担保形式和招标文件第四章“合同条款及格式”规定的履约担保格式向招标人提交履约担保。联合体中标的，其履约担保由牵头方递交，并应符合投标人须知前附表规定的金额、担保形式和招标文件第四章“合同条款及格式”规定的履约担保格式要求。</w:t>
      </w:r>
    </w:p>
    <w:p w14:paraId="23CBAE0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7.3.2中标人不能按本章第7.3.1项要求提交履约担保的，视为放弃中标，其投标保证金不予退还，给招标人造成的损失超过投标保证金数额的，中标人还应当对超过部分予以赔偿。</w:t>
      </w:r>
    </w:p>
    <w:p w14:paraId="57DF585E">
      <w:pPr>
        <w:pStyle w:val="5"/>
        <w:spacing w:before="0" w:after="0" w:line="400" w:lineRule="exact"/>
        <w:jc w:val="left"/>
        <w:rPr>
          <w:rFonts w:hint="eastAsia" w:ascii="宋体" w:hAnsi="宋体" w:cs="宋体"/>
          <w:snapToGrid w:val="0"/>
          <w:highlight w:val="none"/>
        </w:rPr>
      </w:pPr>
      <w:bookmarkStart w:id="180" w:name="_Toc15780"/>
      <w:bookmarkStart w:id="181" w:name="_Toc93403988"/>
      <w:bookmarkStart w:id="182" w:name="_Toc12579"/>
      <w:r>
        <w:rPr>
          <w:rFonts w:hint="eastAsia" w:ascii="宋体" w:hAnsi="宋体" w:cs="宋体"/>
          <w:snapToGrid w:val="0"/>
          <w:highlight w:val="none"/>
        </w:rPr>
        <w:t>7.4签订合同</w:t>
      </w:r>
      <w:bookmarkEnd w:id="180"/>
      <w:bookmarkEnd w:id="181"/>
      <w:bookmarkEnd w:id="182"/>
    </w:p>
    <w:p w14:paraId="2E4DFF9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01531DD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7.4.2发出中标通知书后，招标人无正当理由拒签合同的，招标人向中标人退还投标保证金；给中标人造成损失的，还应当赔偿损失。</w:t>
      </w:r>
    </w:p>
    <w:p w14:paraId="6CACC713">
      <w:pPr>
        <w:pStyle w:val="5"/>
        <w:spacing w:before="0" w:after="0" w:line="400" w:lineRule="exact"/>
        <w:jc w:val="left"/>
        <w:rPr>
          <w:rFonts w:hint="eastAsia" w:ascii="宋体" w:hAnsi="宋体" w:cs="宋体"/>
          <w:snapToGrid w:val="0"/>
          <w:highlight w:val="none"/>
        </w:rPr>
      </w:pPr>
      <w:bookmarkStart w:id="183" w:name="_Toc93403989"/>
      <w:bookmarkStart w:id="184" w:name="_Toc28388"/>
      <w:bookmarkStart w:id="185" w:name="_Toc27173"/>
      <w:r>
        <w:rPr>
          <w:rFonts w:hint="eastAsia" w:ascii="宋体" w:hAnsi="宋体" w:cs="宋体"/>
          <w:snapToGrid w:val="0"/>
          <w:highlight w:val="none"/>
        </w:rPr>
        <w:t>8.重新招标和不再招标</w:t>
      </w:r>
      <w:bookmarkEnd w:id="183"/>
      <w:bookmarkEnd w:id="184"/>
      <w:bookmarkEnd w:id="185"/>
    </w:p>
    <w:p w14:paraId="3B5E1B6A">
      <w:pPr>
        <w:pStyle w:val="5"/>
        <w:spacing w:before="0" w:after="0" w:line="400" w:lineRule="exact"/>
        <w:jc w:val="left"/>
        <w:rPr>
          <w:rFonts w:hint="eastAsia" w:ascii="宋体" w:hAnsi="宋体" w:cs="宋体"/>
          <w:snapToGrid w:val="0"/>
          <w:highlight w:val="none"/>
        </w:rPr>
      </w:pPr>
      <w:bookmarkStart w:id="186" w:name="_Toc93403990"/>
      <w:bookmarkStart w:id="187" w:name="_Toc8730"/>
      <w:bookmarkStart w:id="188" w:name="_Toc24192"/>
      <w:r>
        <w:rPr>
          <w:rFonts w:hint="eastAsia" w:ascii="宋体" w:hAnsi="宋体" w:cs="宋体"/>
          <w:snapToGrid w:val="0"/>
          <w:highlight w:val="none"/>
        </w:rPr>
        <w:t>8.1重新招标</w:t>
      </w:r>
      <w:bookmarkEnd w:id="186"/>
      <w:bookmarkEnd w:id="187"/>
      <w:bookmarkEnd w:id="188"/>
    </w:p>
    <w:p w14:paraId="244E8C1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有下列情形之一的，招标人将重新招标：</w:t>
      </w:r>
    </w:p>
    <w:p w14:paraId="746165B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（1）投标人少于3个的；</w:t>
      </w:r>
    </w:p>
    <w:p w14:paraId="5787CDA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（2）评标委员会否决全部投标的；</w:t>
      </w:r>
    </w:p>
    <w:p w14:paraId="0FE99E7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（3）其他法律、法规规定的情况。</w:t>
      </w:r>
    </w:p>
    <w:p w14:paraId="10702AEC">
      <w:pPr>
        <w:pStyle w:val="5"/>
        <w:spacing w:before="0" w:after="0" w:line="400" w:lineRule="exact"/>
        <w:jc w:val="left"/>
        <w:rPr>
          <w:rFonts w:hint="eastAsia" w:ascii="宋体" w:hAnsi="宋体" w:cs="宋体"/>
          <w:snapToGrid w:val="0"/>
          <w:highlight w:val="none"/>
        </w:rPr>
      </w:pPr>
      <w:bookmarkStart w:id="189" w:name="_Toc29439"/>
      <w:bookmarkStart w:id="190" w:name="_Toc16704"/>
      <w:bookmarkStart w:id="191" w:name="_Toc93403991"/>
      <w:r>
        <w:rPr>
          <w:rFonts w:hint="eastAsia" w:ascii="宋体" w:hAnsi="宋体" w:cs="宋体"/>
          <w:snapToGrid w:val="0"/>
          <w:highlight w:val="none"/>
        </w:rPr>
        <w:t>8.2不再招标</w:t>
      </w:r>
      <w:bookmarkEnd w:id="189"/>
      <w:bookmarkEnd w:id="190"/>
      <w:bookmarkEnd w:id="191"/>
    </w:p>
    <w:p w14:paraId="3A2B595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重新招标后投标人仍少于3个的，属于必须审批、核准的工程建设项目，报经原审批、核准部门审批、核准后不再进行招标。</w:t>
      </w:r>
    </w:p>
    <w:p w14:paraId="2C0FC5B0">
      <w:pPr>
        <w:pStyle w:val="5"/>
        <w:spacing w:before="0" w:after="0" w:line="400" w:lineRule="exact"/>
        <w:jc w:val="left"/>
        <w:rPr>
          <w:rFonts w:hint="eastAsia" w:ascii="宋体" w:hAnsi="宋体" w:cs="宋体"/>
          <w:snapToGrid w:val="0"/>
          <w:highlight w:val="none"/>
        </w:rPr>
      </w:pPr>
      <w:bookmarkStart w:id="192" w:name="_Toc12727"/>
      <w:bookmarkStart w:id="193" w:name="_Toc93403992"/>
      <w:bookmarkStart w:id="194" w:name="_Toc20591"/>
      <w:r>
        <w:rPr>
          <w:rFonts w:hint="eastAsia" w:ascii="宋体" w:hAnsi="宋体" w:cs="宋体"/>
          <w:snapToGrid w:val="0"/>
          <w:highlight w:val="none"/>
        </w:rPr>
        <w:t>9.纪律和监督</w:t>
      </w:r>
      <w:bookmarkEnd w:id="192"/>
      <w:bookmarkEnd w:id="193"/>
      <w:bookmarkEnd w:id="194"/>
    </w:p>
    <w:p w14:paraId="741FAB4E">
      <w:pPr>
        <w:pStyle w:val="5"/>
        <w:spacing w:before="0" w:after="0" w:line="400" w:lineRule="exact"/>
        <w:jc w:val="left"/>
        <w:rPr>
          <w:rFonts w:hint="eastAsia" w:ascii="宋体" w:hAnsi="宋体" w:cs="宋体"/>
          <w:snapToGrid w:val="0"/>
          <w:highlight w:val="none"/>
        </w:rPr>
      </w:pPr>
      <w:bookmarkStart w:id="195" w:name="_Toc20066"/>
      <w:bookmarkStart w:id="196" w:name="_Toc22509"/>
      <w:bookmarkStart w:id="197" w:name="_Toc93403993"/>
      <w:r>
        <w:rPr>
          <w:rFonts w:hint="eastAsia" w:ascii="宋体" w:hAnsi="宋体" w:cs="宋体"/>
          <w:snapToGrid w:val="0"/>
          <w:highlight w:val="none"/>
        </w:rPr>
        <w:t>9.1对招标人的纪律要求</w:t>
      </w:r>
      <w:bookmarkEnd w:id="195"/>
      <w:bookmarkEnd w:id="196"/>
      <w:bookmarkEnd w:id="197"/>
    </w:p>
    <w:p w14:paraId="7DFBBC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招标人不得泄漏招标投标活动中应当保密的情况和资料，不得与投标人串通损害国家利益、社会公共利益或者他人合法权益。</w:t>
      </w:r>
    </w:p>
    <w:p w14:paraId="3D72F431">
      <w:pPr>
        <w:pStyle w:val="5"/>
        <w:spacing w:before="0" w:after="0" w:line="400" w:lineRule="exact"/>
        <w:jc w:val="left"/>
        <w:rPr>
          <w:rFonts w:hint="eastAsia" w:ascii="宋体" w:hAnsi="宋体" w:cs="宋体"/>
          <w:snapToGrid w:val="0"/>
          <w:highlight w:val="none"/>
        </w:rPr>
      </w:pPr>
      <w:bookmarkStart w:id="198" w:name="_Toc17819"/>
      <w:bookmarkStart w:id="199" w:name="_Toc29061"/>
      <w:bookmarkStart w:id="200" w:name="_Toc93403994"/>
      <w:r>
        <w:rPr>
          <w:rFonts w:hint="eastAsia" w:ascii="宋体" w:hAnsi="宋体" w:cs="宋体"/>
          <w:snapToGrid w:val="0"/>
          <w:highlight w:val="none"/>
        </w:rPr>
        <w:t>9.2对投标人的纪律要求</w:t>
      </w:r>
      <w:bookmarkEnd w:id="198"/>
      <w:bookmarkEnd w:id="199"/>
      <w:bookmarkEnd w:id="200"/>
    </w:p>
    <w:p w14:paraId="7E0ED42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9ED48D7">
      <w:pPr>
        <w:pStyle w:val="5"/>
        <w:spacing w:before="0" w:after="0" w:line="400" w:lineRule="exact"/>
        <w:jc w:val="left"/>
        <w:rPr>
          <w:rFonts w:hint="eastAsia" w:ascii="宋体" w:hAnsi="宋体" w:cs="宋体"/>
          <w:snapToGrid w:val="0"/>
          <w:highlight w:val="none"/>
        </w:rPr>
      </w:pPr>
      <w:bookmarkStart w:id="201" w:name="_Toc93403995"/>
      <w:bookmarkStart w:id="202" w:name="_Toc26358"/>
      <w:bookmarkStart w:id="203" w:name="_Toc12594"/>
      <w:r>
        <w:rPr>
          <w:rFonts w:hint="eastAsia" w:ascii="宋体" w:hAnsi="宋体" w:cs="宋体"/>
          <w:snapToGrid w:val="0"/>
          <w:highlight w:val="none"/>
        </w:rPr>
        <w:t>9.3对评标委员会成员的纪律要求</w:t>
      </w:r>
      <w:bookmarkEnd w:id="201"/>
      <w:bookmarkEnd w:id="202"/>
      <w:bookmarkEnd w:id="203"/>
    </w:p>
    <w:p w14:paraId="3F1018F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679B037D">
      <w:pPr>
        <w:pStyle w:val="5"/>
        <w:spacing w:before="0" w:after="0" w:line="400" w:lineRule="exact"/>
        <w:jc w:val="left"/>
        <w:rPr>
          <w:rFonts w:hint="eastAsia" w:ascii="宋体" w:hAnsi="宋体" w:cs="宋体"/>
          <w:snapToGrid w:val="0"/>
          <w:highlight w:val="none"/>
        </w:rPr>
      </w:pPr>
      <w:bookmarkStart w:id="204" w:name="_Toc4051"/>
      <w:bookmarkStart w:id="205" w:name="_Toc2213"/>
      <w:bookmarkStart w:id="206" w:name="_Toc93403996"/>
      <w:r>
        <w:rPr>
          <w:rFonts w:hint="eastAsia" w:ascii="宋体" w:hAnsi="宋体" w:cs="宋体"/>
          <w:snapToGrid w:val="0"/>
          <w:highlight w:val="none"/>
        </w:rPr>
        <w:t>9.4对与评标活动有关的工作人员的纪律要求</w:t>
      </w:r>
      <w:bookmarkEnd w:id="204"/>
      <w:bookmarkEnd w:id="205"/>
      <w:bookmarkEnd w:id="206"/>
    </w:p>
    <w:p w14:paraId="40E1B5F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与评标活动有关的工作人员不得收受他人的财物或者其他好处，不得向他人透漏对投标文件的评审和比较、中标候选人的推荐情况以及评标有关的其他情况。</w:t>
      </w:r>
    </w:p>
    <w:p w14:paraId="2E0F941C">
      <w:pPr>
        <w:pStyle w:val="5"/>
        <w:spacing w:before="0" w:after="0" w:line="400" w:lineRule="exact"/>
        <w:jc w:val="left"/>
        <w:rPr>
          <w:rFonts w:hint="eastAsia" w:ascii="宋体" w:hAnsi="宋体" w:cs="宋体"/>
          <w:snapToGrid w:val="0"/>
          <w:highlight w:val="none"/>
        </w:rPr>
      </w:pPr>
      <w:bookmarkStart w:id="207" w:name="_Toc4146"/>
      <w:bookmarkStart w:id="208" w:name="_Toc93403997"/>
      <w:bookmarkStart w:id="209" w:name="_Toc902"/>
      <w:r>
        <w:rPr>
          <w:rFonts w:hint="eastAsia" w:ascii="宋体" w:hAnsi="宋体" w:cs="宋体"/>
          <w:snapToGrid w:val="0"/>
          <w:highlight w:val="none"/>
        </w:rPr>
        <w:t>9.5投诉</w:t>
      </w:r>
      <w:bookmarkEnd w:id="207"/>
      <w:bookmarkEnd w:id="208"/>
      <w:bookmarkEnd w:id="209"/>
    </w:p>
    <w:p w14:paraId="26B1D0E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投标人和其他利害关系人认为本次招标活动违反法律、法规和规章规定的，有权向有关行政监督部门投诉。</w:t>
      </w:r>
    </w:p>
    <w:p w14:paraId="0EA85337">
      <w:pPr>
        <w:pStyle w:val="5"/>
        <w:spacing w:before="0" w:after="0" w:line="400" w:lineRule="exact"/>
        <w:jc w:val="left"/>
        <w:rPr>
          <w:rFonts w:hint="eastAsia" w:ascii="宋体" w:hAnsi="宋体" w:cs="宋体"/>
          <w:snapToGrid w:val="0"/>
          <w:highlight w:val="none"/>
        </w:rPr>
      </w:pPr>
      <w:bookmarkStart w:id="210" w:name="_Toc30981"/>
      <w:bookmarkStart w:id="211" w:name="_Toc328"/>
      <w:bookmarkStart w:id="212" w:name="_Toc93403998"/>
      <w:r>
        <w:rPr>
          <w:rFonts w:hint="eastAsia" w:ascii="宋体" w:hAnsi="宋体" w:cs="宋体"/>
          <w:snapToGrid w:val="0"/>
          <w:highlight w:val="none"/>
        </w:rPr>
        <w:t>10.需要补充的其他内容</w:t>
      </w:r>
      <w:bookmarkEnd w:id="210"/>
      <w:bookmarkEnd w:id="211"/>
      <w:bookmarkEnd w:id="212"/>
    </w:p>
    <w:p w14:paraId="6A8D0CE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需要补充的其他内容：见投标人须知前附表。</w:t>
      </w:r>
    </w:p>
    <w:p w14:paraId="40356618">
      <w:pPr>
        <w:spacing w:line="400" w:lineRule="exact"/>
        <w:jc w:val="center"/>
        <w:rPr>
          <w:rFonts w:hint="eastAsia" w:ascii="宋体" w:hAnsi="宋体" w:cs="宋体"/>
          <w:b/>
          <w:bCs/>
          <w:snapToGrid w:val="0"/>
          <w:kern w:val="0"/>
          <w:sz w:val="32"/>
          <w:highlight w:val="none"/>
        </w:rPr>
      </w:pPr>
      <w:r>
        <w:rPr>
          <w:rFonts w:hint="eastAsia" w:ascii="宋体" w:hAnsi="宋体" w:cs="宋体"/>
          <w:highlight w:val="none"/>
        </w:rPr>
        <w:br w:type="page"/>
      </w:r>
      <w:r>
        <w:rPr>
          <w:rFonts w:hint="eastAsia" w:ascii="宋体" w:hAnsi="宋体" w:cs="宋体"/>
          <w:b/>
          <w:bCs/>
          <w:snapToGrid w:val="0"/>
          <w:kern w:val="0"/>
          <w:sz w:val="32"/>
          <w:highlight w:val="none"/>
        </w:rPr>
        <w:t>第三章  评标办法</w:t>
      </w:r>
    </w:p>
    <w:p w14:paraId="5B9A6E93">
      <w:pPr>
        <w:pStyle w:val="4"/>
        <w:keepNext w:val="0"/>
        <w:keepLines w:val="0"/>
        <w:spacing w:before="0" w:after="0" w:line="400" w:lineRule="exact"/>
        <w:jc w:val="center"/>
        <w:rPr>
          <w:rFonts w:hint="eastAsia" w:ascii="宋体" w:hAnsi="宋体" w:cs="宋体"/>
          <w:b w:val="0"/>
          <w:snapToGrid w:val="0"/>
          <w:sz w:val="28"/>
          <w:szCs w:val="28"/>
          <w:highlight w:val="none"/>
        </w:rPr>
      </w:pPr>
      <w:bookmarkStart w:id="213" w:name="_Toc93403999"/>
      <w:bookmarkStart w:id="214" w:name="_Toc1194"/>
      <w:bookmarkStart w:id="215" w:name="_Toc21056"/>
      <w:r>
        <w:rPr>
          <w:rFonts w:hint="eastAsia" w:ascii="宋体" w:hAnsi="宋体" w:cs="宋体"/>
          <w:b w:val="0"/>
          <w:snapToGrid w:val="0"/>
          <w:sz w:val="28"/>
          <w:szCs w:val="28"/>
          <w:highlight w:val="none"/>
        </w:rPr>
        <w:t>评标办法前附表</w:t>
      </w:r>
      <w:bookmarkEnd w:id="213"/>
      <w:bookmarkEnd w:id="214"/>
      <w:bookmarkEnd w:id="215"/>
    </w:p>
    <w:tbl>
      <w:tblPr>
        <w:tblStyle w:val="3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1362"/>
        <w:gridCol w:w="2550"/>
        <w:gridCol w:w="4360"/>
      </w:tblGrid>
      <w:tr w14:paraId="1DC6E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Align w:val="center"/>
          </w:tcPr>
          <w:p w14:paraId="4E90DEA9">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912" w:type="dxa"/>
            <w:gridSpan w:val="2"/>
            <w:vAlign w:val="center"/>
          </w:tcPr>
          <w:p w14:paraId="26BACA65">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评审因素</w:t>
            </w:r>
          </w:p>
        </w:tc>
        <w:tc>
          <w:tcPr>
            <w:tcW w:w="4360" w:type="dxa"/>
            <w:vAlign w:val="center"/>
          </w:tcPr>
          <w:p w14:paraId="66F345BA">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评审标准</w:t>
            </w:r>
          </w:p>
        </w:tc>
      </w:tr>
      <w:tr w14:paraId="48BC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722143D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2.1.1</w:t>
            </w:r>
          </w:p>
        </w:tc>
        <w:tc>
          <w:tcPr>
            <w:tcW w:w="1362" w:type="dxa"/>
            <w:vMerge w:val="restart"/>
            <w:vAlign w:val="center"/>
          </w:tcPr>
          <w:p w14:paraId="0134A12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形式</w:t>
            </w:r>
          </w:p>
          <w:p w14:paraId="5B16BCA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1250B6C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3D7FC5C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投标人名称</w:t>
            </w:r>
          </w:p>
        </w:tc>
        <w:tc>
          <w:tcPr>
            <w:tcW w:w="4360" w:type="dxa"/>
            <w:vAlign w:val="center"/>
          </w:tcPr>
          <w:p w14:paraId="69D26D6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与营业执照、资质证书一致</w:t>
            </w:r>
          </w:p>
        </w:tc>
      </w:tr>
      <w:tr w14:paraId="4118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14BD0DA7">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3C18B32">
            <w:pPr>
              <w:spacing w:line="400" w:lineRule="exact"/>
              <w:jc w:val="left"/>
              <w:rPr>
                <w:rFonts w:hint="eastAsia" w:ascii="宋体" w:hAnsi="宋体" w:cs="宋体"/>
                <w:snapToGrid w:val="0"/>
                <w:kern w:val="0"/>
                <w:szCs w:val="21"/>
                <w:highlight w:val="none"/>
              </w:rPr>
            </w:pPr>
          </w:p>
        </w:tc>
        <w:tc>
          <w:tcPr>
            <w:tcW w:w="2550" w:type="dxa"/>
            <w:vAlign w:val="center"/>
          </w:tcPr>
          <w:p w14:paraId="2305DA9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投标文件</w:t>
            </w:r>
          </w:p>
        </w:tc>
        <w:tc>
          <w:tcPr>
            <w:tcW w:w="4360" w:type="dxa"/>
            <w:vAlign w:val="center"/>
          </w:tcPr>
          <w:p w14:paraId="32A00CD4">
            <w:pPr>
              <w:spacing w:line="400" w:lineRule="exact"/>
              <w:jc w:val="left"/>
              <w:rPr>
                <w:rFonts w:hint="eastAsia" w:ascii="宋体" w:hAnsi="宋体" w:eastAsia="宋体" w:cs="宋体"/>
                <w:snapToGrid w:val="0"/>
                <w:kern w:val="0"/>
                <w:szCs w:val="21"/>
                <w:highlight w:val="none"/>
                <w:lang w:val="en-US" w:eastAsia="zh-CN"/>
              </w:rPr>
            </w:pPr>
            <w:r>
              <w:rPr>
                <w:rFonts w:hint="eastAsia" w:ascii="宋体" w:hAnsi="宋体" w:cs="宋体"/>
                <w:snapToGrid w:val="0"/>
                <w:kern w:val="0"/>
                <w:szCs w:val="21"/>
                <w:highlight w:val="none"/>
                <w:lang w:val="en-US" w:eastAsia="zh-CN"/>
              </w:rPr>
              <w:t>/</w:t>
            </w:r>
          </w:p>
        </w:tc>
      </w:tr>
      <w:tr w14:paraId="317A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5654059">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48629F3A">
            <w:pPr>
              <w:spacing w:line="400" w:lineRule="exact"/>
              <w:jc w:val="left"/>
              <w:rPr>
                <w:rFonts w:hint="eastAsia" w:ascii="宋体" w:hAnsi="宋体" w:cs="宋体"/>
                <w:snapToGrid w:val="0"/>
                <w:kern w:val="0"/>
                <w:szCs w:val="21"/>
                <w:highlight w:val="none"/>
              </w:rPr>
            </w:pPr>
          </w:p>
        </w:tc>
        <w:tc>
          <w:tcPr>
            <w:tcW w:w="2550" w:type="dxa"/>
            <w:vAlign w:val="center"/>
          </w:tcPr>
          <w:p w14:paraId="0A83488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联合体投标人(如有)</w:t>
            </w:r>
          </w:p>
        </w:tc>
        <w:tc>
          <w:tcPr>
            <w:tcW w:w="4360" w:type="dxa"/>
            <w:vAlign w:val="center"/>
          </w:tcPr>
          <w:p w14:paraId="6981BEA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提交联合体协议书，并明确联合体牵头方</w:t>
            </w:r>
          </w:p>
        </w:tc>
      </w:tr>
      <w:tr w14:paraId="64D7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55303A8D">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643165B">
            <w:pPr>
              <w:spacing w:line="400" w:lineRule="exact"/>
              <w:jc w:val="left"/>
              <w:rPr>
                <w:rFonts w:hint="eastAsia" w:ascii="宋体" w:hAnsi="宋体" w:cs="宋体"/>
                <w:snapToGrid w:val="0"/>
                <w:kern w:val="0"/>
                <w:szCs w:val="21"/>
                <w:highlight w:val="none"/>
              </w:rPr>
            </w:pPr>
          </w:p>
        </w:tc>
        <w:tc>
          <w:tcPr>
            <w:tcW w:w="2550" w:type="dxa"/>
            <w:vAlign w:val="center"/>
          </w:tcPr>
          <w:p w14:paraId="46BD607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暗标</w:t>
            </w:r>
          </w:p>
        </w:tc>
        <w:tc>
          <w:tcPr>
            <w:tcW w:w="4360" w:type="dxa"/>
            <w:vAlign w:val="center"/>
          </w:tcPr>
          <w:p w14:paraId="6A29E8E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符合招标文件第二章有关暗标的编制要求</w:t>
            </w:r>
          </w:p>
        </w:tc>
      </w:tr>
      <w:tr w14:paraId="68CAC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73BBA84">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596F3537">
            <w:pPr>
              <w:spacing w:line="400" w:lineRule="exact"/>
              <w:jc w:val="left"/>
              <w:rPr>
                <w:rFonts w:hint="eastAsia" w:ascii="宋体" w:hAnsi="宋体" w:cs="宋体"/>
                <w:snapToGrid w:val="0"/>
                <w:kern w:val="0"/>
                <w:szCs w:val="21"/>
                <w:highlight w:val="none"/>
              </w:rPr>
            </w:pPr>
          </w:p>
        </w:tc>
        <w:tc>
          <w:tcPr>
            <w:tcW w:w="2550" w:type="dxa"/>
            <w:vAlign w:val="center"/>
          </w:tcPr>
          <w:p w14:paraId="1A5961F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报价唯一</w:t>
            </w:r>
          </w:p>
        </w:tc>
        <w:tc>
          <w:tcPr>
            <w:tcW w:w="4360" w:type="dxa"/>
            <w:vAlign w:val="center"/>
          </w:tcPr>
          <w:p w14:paraId="720FF22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只能有一个投标文件及有效报价</w:t>
            </w:r>
          </w:p>
        </w:tc>
      </w:tr>
      <w:tr w14:paraId="4C6B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46C44084">
            <w:pPr>
              <w:spacing w:line="400" w:lineRule="exact"/>
              <w:jc w:val="left"/>
              <w:rPr>
                <w:rFonts w:hint="eastAsia" w:ascii="宋体" w:hAnsi="宋体" w:cs="宋体"/>
                <w:snapToGrid w:val="0"/>
                <w:kern w:val="0"/>
                <w:szCs w:val="21"/>
                <w:highlight w:val="none"/>
              </w:rPr>
            </w:pPr>
            <w:bookmarkStart w:id="216" w:name="资格后审5"/>
            <w:bookmarkStart w:id="217" w:name="第三章_资格评审标准"/>
            <w:r>
              <w:rPr>
                <w:rFonts w:hint="eastAsia" w:ascii="宋体" w:hAnsi="宋体" w:cs="宋体"/>
                <w:snapToGrid w:val="0"/>
                <w:kern w:val="0"/>
                <w:szCs w:val="21"/>
                <w:highlight w:val="none"/>
              </w:rPr>
              <w:t>2.1.2</w:t>
            </w:r>
          </w:p>
        </w:tc>
        <w:tc>
          <w:tcPr>
            <w:tcW w:w="1362" w:type="dxa"/>
            <w:vMerge w:val="restart"/>
            <w:vAlign w:val="center"/>
          </w:tcPr>
          <w:p w14:paraId="71EBD30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资格</w:t>
            </w:r>
          </w:p>
          <w:p w14:paraId="7F0BB3E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7F0137D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6CC9649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营业执照</w:t>
            </w:r>
          </w:p>
        </w:tc>
        <w:tc>
          <w:tcPr>
            <w:tcW w:w="4360" w:type="dxa"/>
            <w:vAlign w:val="center"/>
          </w:tcPr>
          <w:p w14:paraId="0523E09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具备有效的营业执照</w:t>
            </w:r>
          </w:p>
        </w:tc>
      </w:tr>
      <w:tr w14:paraId="27A2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70697FA">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63011A93">
            <w:pPr>
              <w:spacing w:line="400" w:lineRule="exact"/>
              <w:jc w:val="left"/>
              <w:rPr>
                <w:rFonts w:hint="eastAsia" w:ascii="宋体" w:hAnsi="宋体" w:cs="宋体"/>
                <w:snapToGrid w:val="0"/>
                <w:kern w:val="0"/>
                <w:szCs w:val="21"/>
                <w:highlight w:val="none"/>
              </w:rPr>
            </w:pPr>
          </w:p>
        </w:tc>
        <w:tc>
          <w:tcPr>
            <w:tcW w:w="2550" w:type="dxa"/>
            <w:vAlign w:val="center"/>
          </w:tcPr>
          <w:p w14:paraId="3C65618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资质证书</w:t>
            </w:r>
          </w:p>
        </w:tc>
        <w:tc>
          <w:tcPr>
            <w:tcW w:w="4360" w:type="dxa"/>
            <w:vAlign w:val="center"/>
          </w:tcPr>
          <w:p w14:paraId="185C4A7F">
            <w:pPr>
              <w:spacing w:line="400" w:lineRule="exact"/>
              <w:jc w:val="left"/>
              <w:rPr>
                <w:rFonts w:hint="eastAsia" w:ascii="宋体" w:hAnsi="宋体" w:cs="宋体"/>
                <w:szCs w:val="21"/>
                <w:highlight w:val="none"/>
              </w:rPr>
            </w:pPr>
            <w:r>
              <w:rPr>
                <w:rFonts w:hint="eastAsia" w:ascii="宋体" w:hAnsi="宋体" w:cs="宋体"/>
                <w:snapToGrid w:val="0"/>
                <w:kern w:val="0"/>
                <w:szCs w:val="21"/>
                <w:highlight w:val="none"/>
              </w:rPr>
              <w:t>具备有效的资质证书</w:t>
            </w:r>
          </w:p>
        </w:tc>
      </w:tr>
      <w:tr w14:paraId="20A50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273A228B">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C4BE5CA">
            <w:pPr>
              <w:spacing w:line="400" w:lineRule="exact"/>
              <w:jc w:val="left"/>
              <w:rPr>
                <w:rFonts w:hint="eastAsia" w:ascii="宋体" w:hAnsi="宋体" w:cs="宋体"/>
                <w:snapToGrid w:val="0"/>
                <w:kern w:val="0"/>
                <w:szCs w:val="21"/>
                <w:highlight w:val="none"/>
              </w:rPr>
            </w:pPr>
          </w:p>
        </w:tc>
        <w:tc>
          <w:tcPr>
            <w:tcW w:w="2550" w:type="dxa"/>
            <w:vAlign w:val="center"/>
          </w:tcPr>
          <w:p w14:paraId="06BB7889">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资质等级</w:t>
            </w:r>
          </w:p>
        </w:tc>
        <w:tc>
          <w:tcPr>
            <w:tcW w:w="4360" w:type="dxa"/>
            <w:vAlign w:val="center"/>
          </w:tcPr>
          <w:p w14:paraId="610BE6E0">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0922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6244BB0">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6978A8F4">
            <w:pPr>
              <w:spacing w:line="400" w:lineRule="exact"/>
              <w:jc w:val="left"/>
              <w:rPr>
                <w:rFonts w:hint="eastAsia" w:ascii="宋体" w:hAnsi="宋体" w:cs="宋体"/>
                <w:snapToGrid w:val="0"/>
                <w:kern w:val="0"/>
                <w:szCs w:val="21"/>
                <w:highlight w:val="none"/>
              </w:rPr>
            </w:pPr>
          </w:p>
        </w:tc>
        <w:tc>
          <w:tcPr>
            <w:tcW w:w="2550" w:type="dxa"/>
            <w:vAlign w:val="center"/>
          </w:tcPr>
          <w:p w14:paraId="54F688F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项目负责人</w:t>
            </w:r>
          </w:p>
        </w:tc>
        <w:tc>
          <w:tcPr>
            <w:tcW w:w="4360" w:type="dxa"/>
            <w:vAlign w:val="center"/>
          </w:tcPr>
          <w:p w14:paraId="10F10390">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465F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53C8CD6">
            <w:pPr>
              <w:spacing w:line="400" w:lineRule="exact"/>
              <w:jc w:val="left"/>
              <w:rPr>
                <w:rFonts w:hint="eastAsia" w:ascii="宋体" w:hAnsi="宋体" w:cs="宋体"/>
                <w:snapToGrid w:val="0"/>
                <w:kern w:val="0"/>
                <w:szCs w:val="21"/>
                <w:highlight w:val="none"/>
              </w:rPr>
            </w:pPr>
            <w:bookmarkStart w:id="218" w:name="联合体投标人" w:colFirst="3" w:colLast="3"/>
          </w:p>
        </w:tc>
        <w:tc>
          <w:tcPr>
            <w:tcW w:w="1362" w:type="dxa"/>
            <w:vMerge w:val="continue"/>
            <w:vAlign w:val="center"/>
          </w:tcPr>
          <w:p w14:paraId="7EF3A4D0">
            <w:pPr>
              <w:spacing w:line="400" w:lineRule="exact"/>
              <w:jc w:val="left"/>
              <w:rPr>
                <w:rFonts w:hint="eastAsia" w:ascii="宋体" w:hAnsi="宋体" w:cs="宋体"/>
                <w:snapToGrid w:val="0"/>
                <w:kern w:val="0"/>
                <w:szCs w:val="21"/>
                <w:highlight w:val="none"/>
              </w:rPr>
            </w:pPr>
          </w:p>
        </w:tc>
        <w:tc>
          <w:tcPr>
            <w:tcW w:w="2550" w:type="dxa"/>
            <w:vAlign w:val="center"/>
          </w:tcPr>
          <w:p w14:paraId="6406ACC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联合体投标人</w:t>
            </w:r>
          </w:p>
        </w:tc>
        <w:tc>
          <w:tcPr>
            <w:tcW w:w="4360" w:type="dxa"/>
            <w:vAlign w:val="center"/>
          </w:tcPr>
          <w:p w14:paraId="6F2054BE">
            <w:pPr>
              <w:spacing w:line="400" w:lineRule="exact"/>
              <w:jc w:val="left"/>
              <w:rPr>
                <w:rFonts w:hint="eastAsia" w:ascii="宋体" w:hAnsi="宋体" w:cs="宋体"/>
                <w:snapToGrid w:val="0"/>
                <w:kern w:val="0"/>
                <w:szCs w:val="21"/>
                <w:highlight w:val="none"/>
                <w:u w:val="single"/>
              </w:rPr>
            </w:pPr>
            <w:r>
              <w:rPr>
                <w:rFonts w:hint="eastAsia" w:ascii="宋体" w:hAnsi="宋体" w:cs="宋体"/>
                <w:szCs w:val="21"/>
                <w:highlight w:val="none"/>
              </w:rPr>
              <w:t>符合第二章“投标人须知”第1.4.2项规定</w:t>
            </w:r>
          </w:p>
        </w:tc>
      </w:tr>
      <w:bookmarkEnd w:id="218"/>
      <w:tr w14:paraId="3E98A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68CDAB0F">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5284181">
            <w:pPr>
              <w:spacing w:line="400" w:lineRule="exact"/>
              <w:jc w:val="left"/>
              <w:rPr>
                <w:rFonts w:hint="eastAsia" w:ascii="宋体" w:hAnsi="宋体" w:cs="宋体"/>
                <w:snapToGrid w:val="0"/>
                <w:kern w:val="0"/>
                <w:szCs w:val="21"/>
                <w:highlight w:val="none"/>
              </w:rPr>
            </w:pPr>
          </w:p>
        </w:tc>
        <w:tc>
          <w:tcPr>
            <w:tcW w:w="2550" w:type="dxa"/>
            <w:vAlign w:val="center"/>
          </w:tcPr>
          <w:p w14:paraId="6465D0A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业绩要求</w:t>
            </w:r>
          </w:p>
        </w:tc>
        <w:tc>
          <w:tcPr>
            <w:tcW w:w="4360" w:type="dxa"/>
            <w:vAlign w:val="center"/>
          </w:tcPr>
          <w:p w14:paraId="31024187">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0BA65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2578381">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25C8F00">
            <w:pPr>
              <w:spacing w:line="400" w:lineRule="exact"/>
              <w:jc w:val="left"/>
              <w:rPr>
                <w:rFonts w:hint="eastAsia" w:ascii="宋体" w:hAnsi="宋体" w:cs="宋体"/>
                <w:snapToGrid w:val="0"/>
                <w:kern w:val="0"/>
                <w:szCs w:val="21"/>
                <w:highlight w:val="none"/>
              </w:rPr>
            </w:pPr>
          </w:p>
        </w:tc>
        <w:tc>
          <w:tcPr>
            <w:tcW w:w="2550" w:type="dxa"/>
            <w:vAlign w:val="center"/>
          </w:tcPr>
          <w:p w14:paraId="63E6FA79">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信誉要求</w:t>
            </w:r>
          </w:p>
        </w:tc>
        <w:tc>
          <w:tcPr>
            <w:tcW w:w="4360" w:type="dxa"/>
            <w:vAlign w:val="center"/>
          </w:tcPr>
          <w:p w14:paraId="2F23CE19">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44D9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82E659D">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6FCE164">
            <w:pPr>
              <w:spacing w:line="400" w:lineRule="exact"/>
              <w:jc w:val="left"/>
              <w:rPr>
                <w:rFonts w:hint="eastAsia" w:ascii="宋体" w:hAnsi="宋体" w:cs="宋体"/>
                <w:snapToGrid w:val="0"/>
                <w:kern w:val="0"/>
                <w:szCs w:val="21"/>
                <w:highlight w:val="none"/>
              </w:rPr>
            </w:pPr>
          </w:p>
        </w:tc>
        <w:tc>
          <w:tcPr>
            <w:tcW w:w="2550" w:type="dxa"/>
            <w:vAlign w:val="center"/>
          </w:tcPr>
          <w:p w14:paraId="5E5FC3B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其他要求</w:t>
            </w:r>
          </w:p>
        </w:tc>
        <w:tc>
          <w:tcPr>
            <w:tcW w:w="4360" w:type="dxa"/>
            <w:vAlign w:val="center"/>
          </w:tcPr>
          <w:p w14:paraId="1AE45691">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bookmarkEnd w:id="216"/>
      <w:bookmarkEnd w:id="217"/>
      <w:tr w14:paraId="284A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70E720B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2.1.3</w:t>
            </w:r>
          </w:p>
        </w:tc>
        <w:tc>
          <w:tcPr>
            <w:tcW w:w="1362" w:type="dxa"/>
            <w:vMerge w:val="restart"/>
            <w:vAlign w:val="center"/>
          </w:tcPr>
          <w:p w14:paraId="6DDF391D">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响应性</w:t>
            </w:r>
          </w:p>
          <w:p w14:paraId="279EFA8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18FEFE8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0976DB2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服务范围</w:t>
            </w:r>
          </w:p>
        </w:tc>
        <w:tc>
          <w:tcPr>
            <w:tcW w:w="4360" w:type="dxa"/>
            <w:vAlign w:val="center"/>
          </w:tcPr>
          <w:p w14:paraId="2FC15E46">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符合第二章“投标人须知”第1.3.1项规定</w:t>
            </w:r>
          </w:p>
        </w:tc>
      </w:tr>
      <w:tr w14:paraId="2D5FA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D86684C">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85C0B12">
            <w:pPr>
              <w:spacing w:line="400" w:lineRule="exact"/>
              <w:jc w:val="left"/>
              <w:rPr>
                <w:rFonts w:hint="eastAsia" w:ascii="宋体" w:hAnsi="宋体" w:cs="宋体"/>
                <w:snapToGrid w:val="0"/>
                <w:kern w:val="0"/>
                <w:szCs w:val="21"/>
                <w:highlight w:val="none"/>
              </w:rPr>
            </w:pPr>
          </w:p>
        </w:tc>
        <w:tc>
          <w:tcPr>
            <w:tcW w:w="2550" w:type="dxa"/>
            <w:vAlign w:val="center"/>
          </w:tcPr>
          <w:p w14:paraId="3E2174C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服务期限</w:t>
            </w:r>
          </w:p>
        </w:tc>
        <w:tc>
          <w:tcPr>
            <w:tcW w:w="4360" w:type="dxa"/>
            <w:vAlign w:val="center"/>
          </w:tcPr>
          <w:p w14:paraId="2488C0F8">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符合第二章“投标人须知”第1.3.2项规定</w:t>
            </w:r>
          </w:p>
        </w:tc>
      </w:tr>
      <w:tr w14:paraId="79B5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AA51F42">
            <w:pPr>
              <w:spacing w:line="400" w:lineRule="exact"/>
              <w:jc w:val="left"/>
              <w:rPr>
                <w:rFonts w:hint="eastAsia" w:ascii="宋体" w:hAnsi="宋体" w:cs="宋体"/>
                <w:snapToGrid w:val="0"/>
                <w:kern w:val="0"/>
                <w:szCs w:val="21"/>
                <w:highlight w:val="none"/>
              </w:rPr>
            </w:pPr>
            <w:bookmarkStart w:id="219" w:name="第三章_投标人资格" w:colFirst="2" w:colLast="4"/>
          </w:p>
        </w:tc>
        <w:tc>
          <w:tcPr>
            <w:tcW w:w="1362" w:type="dxa"/>
            <w:vMerge w:val="continue"/>
            <w:vAlign w:val="center"/>
          </w:tcPr>
          <w:p w14:paraId="3BAD0E74">
            <w:pPr>
              <w:spacing w:line="400" w:lineRule="exact"/>
              <w:jc w:val="left"/>
              <w:rPr>
                <w:rFonts w:hint="eastAsia" w:ascii="宋体" w:hAnsi="宋体" w:cs="宋体"/>
                <w:snapToGrid w:val="0"/>
                <w:kern w:val="0"/>
                <w:szCs w:val="21"/>
                <w:highlight w:val="none"/>
              </w:rPr>
            </w:pPr>
          </w:p>
        </w:tc>
        <w:tc>
          <w:tcPr>
            <w:tcW w:w="2550" w:type="dxa"/>
            <w:vAlign w:val="center"/>
          </w:tcPr>
          <w:p w14:paraId="79104C0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投标报价</w:t>
            </w:r>
          </w:p>
        </w:tc>
        <w:tc>
          <w:tcPr>
            <w:tcW w:w="4360" w:type="dxa"/>
            <w:vAlign w:val="center"/>
          </w:tcPr>
          <w:p w14:paraId="0142C61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不高于招标文件设定的最高投标限价</w:t>
            </w:r>
          </w:p>
        </w:tc>
      </w:tr>
      <w:bookmarkEnd w:id="219"/>
      <w:tr w14:paraId="1C8B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4E20D5B">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2F2738E5">
            <w:pPr>
              <w:spacing w:line="400" w:lineRule="exact"/>
              <w:jc w:val="left"/>
              <w:rPr>
                <w:rFonts w:hint="eastAsia" w:ascii="宋体" w:hAnsi="宋体" w:cs="宋体"/>
                <w:snapToGrid w:val="0"/>
                <w:kern w:val="0"/>
                <w:szCs w:val="21"/>
                <w:highlight w:val="none"/>
              </w:rPr>
            </w:pPr>
          </w:p>
        </w:tc>
        <w:tc>
          <w:tcPr>
            <w:tcW w:w="2550" w:type="dxa"/>
            <w:vAlign w:val="center"/>
          </w:tcPr>
          <w:p w14:paraId="0EBE850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4360" w:type="dxa"/>
            <w:vAlign w:val="center"/>
          </w:tcPr>
          <w:p w14:paraId="3E033816">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90天</w:t>
            </w:r>
          </w:p>
        </w:tc>
      </w:tr>
      <w:tr w14:paraId="10A7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2EE8803C">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288C3732">
            <w:pPr>
              <w:spacing w:line="400" w:lineRule="exact"/>
              <w:jc w:val="left"/>
              <w:rPr>
                <w:rFonts w:hint="eastAsia" w:ascii="宋体" w:hAnsi="宋体" w:cs="宋体"/>
                <w:snapToGrid w:val="0"/>
                <w:kern w:val="0"/>
                <w:szCs w:val="21"/>
                <w:highlight w:val="none"/>
              </w:rPr>
            </w:pPr>
          </w:p>
        </w:tc>
        <w:tc>
          <w:tcPr>
            <w:tcW w:w="2550" w:type="dxa"/>
            <w:vAlign w:val="center"/>
          </w:tcPr>
          <w:p w14:paraId="262E31E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投标保证金</w:t>
            </w:r>
          </w:p>
        </w:tc>
        <w:tc>
          <w:tcPr>
            <w:tcW w:w="4360" w:type="dxa"/>
            <w:vAlign w:val="center"/>
          </w:tcPr>
          <w:p w14:paraId="553C983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符合第二章“投标人须知”第3.4.1项规定</w:t>
            </w:r>
          </w:p>
        </w:tc>
      </w:tr>
      <w:tr w14:paraId="57C9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9FE2900">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677A06A">
            <w:pPr>
              <w:spacing w:line="400" w:lineRule="exact"/>
              <w:jc w:val="left"/>
              <w:rPr>
                <w:rFonts w:hint="eastAsia" w:ascii="宋体" w:hAnsi="宋体" w:cs="宋体"/>
                <w:snapToGrid w:val="0"/>
                <w:kern w:val="0"/>
                <w:szCs w:val="21"/>
                <w:highlight w:val="none"/>
              </w:rPr>
            </w:pPr>
          </w:p>
        </w:tc>
        <w:tc>
          <w:tcPr>
            <w:tcW w:w="2550" w:type="dxa"/>
            <w:vAlign w:val="center"/>
          </w:tcPr>
          <w:p w14:paraId="6652044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权利义务</w:t>
            </w:r>
          </w:p>
        </w:tc>
        <w:tc>
          <w:tcPr>
            <w:tcW w:w="4360" w:type="dxa"/>
            <w:vAlign w:val="center"/>
          </w:tcPr>
          <w:p w14:paraId="737B2F1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符合第四章“合同条款及格式”规定</w:t>
            </w:r>
          </w:p>
        </w:tc>
      </w:tr>
      <w:tr w14:paraId="209B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12A0D8F">
            <w:pPr>
              <w:spacing w:line="400" w:lineRule="exact"/>
              <w:jc w:val="left"/>
              <w:rPr>
                <w:rFonts w:hint="eastAsia" w:ascii="宋体" w:hAnsi="宋体" w:cs="宋体"/>
                <w:snapToGrid w:val="0"/>
                <w:kern w:val="0"/>
                <w:szCs w:val="21"/>
                <w:highlight w:val="none"/>
              </w:rPr>
            </w:pPr>
            <w:bookmarkStart w:id="220" w:name="暗标要求" w:colFirst="2" w:colLast="3"/>
          </w:p>
        </w:tc>
        <w:tc>
          <w:tcPr>
            <w:tcW w:w="1362" w:type="dxa"/>
            <w:vMerge w:val="continue"/>
            <w:vAlign w:val="center"/>
          </w:tcPr>
          <w:p w14:paraId="755729C5">
            <w:pPr>
              <w:spacing w:line="400" w:lineRule="exact"/>
              <w:jc w:val="left"/>
              <w:rPr>
                <w:rFonts w:hint="eastAsia" w:ascii="宋体" w:hAnsi="宋体" w:cs="宋体"/>
                <w:snapToGrid w:val="0"/>
                <w:kern w:val="0"/>
                <w:szCs w:val="21"/>
                <w:highlight w:val="none"/>
              </w:rPr>
            </w:pPr>
          </w:p>
        </w:tc>
        <w:tc>
          <w:tcPr>
            <w:tcW w:w="2550" w:type="dxa"/>
            <w:vAlign w:val="center"/>
          </w:tcPr>
          <w:p w14:paraId="2BEA707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w:t>
            </w:r>
          </w:p>
        </w:tc>
        <w:tc>
          <w:tcPr>
            <w:tcW w:w="4360" w:type="dxa"/>
            <w:vAlign w:val="center"/>
          </w:tcPr>
          <w:p w14:paraId="5BE94F7C">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无本</w:t>
            </w:r>
            <w:r>
              <w:rPr>
                <w:rFonts w:hint="eastAsia" w:ascii="宋体" w:hAnsi="宋体" w:cs="宋体"/>
                <w:szCs w:val="21"/>
                <w:highlight w:val="none"/>
              </w:rPr>
              <w:t>章“评标办法”第3.2.2条所列情形</w:t>
            </w:r>
          </w:p>
        </w:tc>
      </w:tr>
      <w:bookmarkEnd w:id="220"/>
    </w:tbl>
    <w:p w14:paraId="7A7872BF">
      <w:pPr>
        <w:spacing w:line="400" w:lineRule="exact"/>
        <w:jc w:val="left"/>
        <w:rPr>
          <w:rFonts w:hint="eastAsia" w:ascii="宋体" w:hAnsi="宋体" w:cs="宋体"/>
          <w:vanish/>
          <w:highlight w:val="none"/>
        </w:rPr>
      </w:pPr>
      <w:bookmarkStart w:id="221" w:name="第三章_评标办法前附表"/>
    </w:p>
    <w:tbl>
      <w:tblPr>
        <w:tblStyle w:val="34"/>
        <w:tblpPr w:topFromText="180" w:bottomFromText="180" w:vertAnchor="text" w:horzAnchor="page" w:tblpX="1447" w:tblpY="428"/>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3875"/>
        <w:gridCol w:w="4360"/>
      </w:tblGrid>
      <w:tr w14:paraId="7E5C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tcPr>
          <w:p w14:paraId="79D6FCC6">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875" w:type="dxa"/>
          </w:tcPr>
          <w:p w14:paraId="47AC2DA4">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条款内容</w:t>
            </w:r>
          </w:p>
        </w:tc>
        <w:tc>
          <w:tcPr>
            <w:tcW w:w="4360" w:type="dxa"/>
          </w:tcPr>
          <w:p w14:paraId="335FD434">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编列内容</w:t>
            </w:r>
          </w:p>
        </w:tc>
      </w:tr>
      <w:tr w14:paraId="423DB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053" w:type="dxa"/>
            <w:vAlign w:val="center"/>
          </w:tcPr>
          <w:p w14:paraId="44F571C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2.2.1</w:t>
            </w:r>
          </w:p>
        </w:tc>
        <w:tc>
          <w:tcPr>
            <w:tcW w:w="3875" w:type="dxa"/>
            <w:vAlign w:val="center"/>
          </w:tcPr>
          <w:p w14:paraId="171A591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分值构成（总分100分）</w:t>
            </w:r>
          </w:p>
        </w:tc>
        <w:tc>
          <w:tcPr>
            <w:tcW w:w="4360" w:type="dxa"/>
            <w:vAlign w:val="center"/>
          </w:tcPr>
          <w:p w14:paraId="68D804D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0C9A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Align w:val="center"/>
          </w:tcPr>
          <w:p w14:paraId="5531C551">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Cs w:val="21"/>
                <w:highlight w:val="none"/>
              </w:rPr>
              <w:t>2.2.2</w:t>
            </w:r>
          </w:p>
        </w:tc>
        <w:tc>
          <w:tcPr>
            <w:tcW w:w="3875" w:type="dxa"/>
            <w:vAlign w:val="center"/>
          </w:tcPr>
          <w:p w14:paraId="716B9A6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评标基准价计算方法</w:t>
            </w:r>
          </w:p>
        </w:tc>
        <w:tc>
          <w:tcPr>
            <w:tcW w:w="4360" w:type="dxa"/>
          </w:tcPr>
          <w:p w14:paraId="480F436D">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1F60C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tcPr>
          <w:p w14:paraId="1CC2E3C7">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875" w:type="dxa"/>
          </w:tcPr>
          <w:p w14:paraId="7BA919FD">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评分因素</w:t>
            </w:r>
          </w:p>
        </w:tc>
        <w:tc>
          <w:tcPr>
            <w:tcW w:w="4360" w:type="dxa"/>
          </w:tcPr>
          <w:p w14:paraId="2156F0CE">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评分标准</w:t>
            </w:r>
          </w:p>
        </w:tc>
      </w:tr>
      <w:tr w14:paraId="5CA9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53" w:type="dxa"/>
            <w:vAlign w:val="center"/>
          </w:tcPr>
          <w:p w14:paraId="5E954286">
            <w:pPr>
              <w:spacing w:line="400" w:lineRule="exact"/>
              <w:jc w:val="left"/>
              <w:rPr>
                <w:rFonts w:hint="eastAsia" w:ascii="宋体" w:hAnsi="宋体" w:cs="宋体"/>
                <w:snapToGrid w:val="0"/>
                <w:kern w:val="0"/>
                <w:highlight w:val="none"/>
              </w:rPr>
            </w:pPr>
            <w:r>
              <w:rPr>
                <w:rFonts w:hint="eastAsia" w:ascii="宋体" w:hAnsi="宋体" w:cs="宋体"/>
                <w:snapToGrid w:val="0"/>
                <w:kern w:val="0"/>
                <w:highlight w:val="none"/>
              </w:rPr>
              <w:t>2.2.3</w:t>
            </w:r>
          </w:p>
        </w:tc>
        <w:tc>
          <w:tcPr>
            <w:tcW w:w="3875" w:type="dxa"/>
            <w:vAlign w:val="center"/>
          </w:tcPr>
          <w:p w14:paraId="1F260871">
            <w:pPr>
              <w:spacing w:line="360" w:lineRule="auto"/>
              <w:jc w:val="left"/>
              <w:rPr>
                <w:rFonts w:hint="eastAsia" w:ascii="宋体" w:hAnsi="宋体" w:cs="宋体"/>
                <w:snapToGrid w:val="0"/>
                <w:kern w:val="0"/>
                <w:szCs w:val="21"/>
                <w:highlight w:val="none"/>
              </w:rPr>
            </w:pPr>
            <w:r>
              <w:rPr>
                <w:rFonts w:hint="eastAsia" w:ascii="宋体" w:hAnsi="宋体" w:cs="宋体"/>
                <w:szCs w:val="21"/>
                <w:highlight w:val="none"/>
              </w:rPr>
              <w:t>全过程工程咨询服务实施方案</w:t>
            </w:r>
          </w:p>
        </w:tc>
        <w:tc>
          <w:tcPr>
            <w:tcW w:w="4360" w:type="dxa"/>
          </w:tcPr>
          <w:p w14:paraId="111E90E6">
            <w:pPr>
              <w:spacing w:line="360" w:lineRule="auto"/>
              <w:jc w:val="left"/>
              <w:rPr>
                <w:rFonts w:hint="eastAsia" w:ascii="宋体" w:hAnsi="宋体" w:cs="宋体"/>
                <w:snapToGrid w:val="0"/>
                <w:kern w:val="0"/>
                <w:szCs w:val="21"/>
                <w:highlight w:val="none"/>
              </w:rPr>
            </w:pPr>
            <w:r>
              <w:rPr>
                <w:rFonts w:hint="eastAsia" w:ascii="宋体"/>
                <w:snapToGrid w:val="0"/>
                <w:kern w:val="0"/>
                <w:szCs w:val="21"/>
                <w:highlight w:val="none"/>
              </w:rPr>
              <w:t>见招标公告附件评标办法</w:t>
            </w:r>
          </w:p>
        </w:tc>
      </w:tr>
      <w:tr w14:paraId="1D166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53" w:type="dxa"/>
            <w:vMerge w:val="restart"/>
            <w:vAlign w:val="center"/>
          </w:tcPr>
          <w:p w14:paraId="6E2F249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highlight w:val="none"/>
              </w:rPr>
              <w:t>2.2.4</w:t>
            </w:r>
          </w:p>
        </w:tc>
        <w:tc>
          <w:tcPr>
            <w:tcW w:w="3875" w:type="dxa"/>
            <w:vAlign w:val="center"/>
          </w:tcPr>
          <w:p w14:paraId="219B0979">
            <w:pPr>
              <w:spacing w:line="400" w:lineRule="exact"/>
              <w:jc w:val="left"/>
              <w:rPr>
                <w:rFonts w:hint="eastAsia" w:ascii="宋体" w:hAnsi="宋体" w:cs="宋体"/>
                <w:snapToGrid w:val="0"/>
                <w:kern w:val="0"/>
                <w:szCs w:val="21"/>
                <w:highlight w:val="none"/>
              </w:rPr>
            </w:pPr>
            <w:r>
              <w:rPr>
                <w:rFonts w:hint="eastAsia" w:ascii="宋体" w:hAnsi="宋体" w:cs="宋体"/>
                <w:kern w:val="0"/>
                <w:szCs w:val="21"/>
                <w:highlight w:val="none"/>
                <w:lang w:val="zh-CN"/>
              </w:rPr>
              <w:t>投标报价</w:t>
            </w:r>
          </w:p>
        </w:tc>
        <w:tc>
          <w:tcPr>
            <w:tcW w:w="4360" w:type="dxa"/>
          </w:tcPr>
          <w:p w14:paraId="53C73A5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44B6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00A97674">
            <w:pPr>
              <w:spacing w:line="400" w:lineRule="exact"/>
              <w:jc w:val="left"/>
              <w:rPr>
                <w:rFonts w:hint="eastAsia" w:ascii="宋体" w:hAnsi="宋体" w:cs="宋体"/>
                <w:snapToGrid w:val="0"/>
                <w:kern w:val="0"/>
                <w:szCs w:val="21"/>
                <w:highlight w:val="none"/>
              </w:rPr>
            </w:pPr>
          </w:p>
        </w:tc>
        <w:tc>
          <w:tcPr>
            <w:tcW w:w="3875" w:type="dxa"/>
            <w:vAlign w:val="center"/>
          </w:tcPr>
          <w:p w14:paraId="0031EE27">
            <w:pPr>
              <w:spacing w:line="400" w:lineRule="exact"/>
              <w:jc w:val="left"/>
              <w:rPr>
                <w:rFonts w:hint="eastAsia" w:ascii="宋体" w:hAnsi="宋体" w:cs="宋体"/>
                <w:snapToGrid w:val="0"/>
                <w:kern w:val="0"/>
                <w:szCs w:val="21"/>
                <w:highlight w:val="none"/>
              </w:rPr>
            </w:pPr>
            <w:r>
              <w:rPr>
                <w:rFonts w:hint="eastAsia" w:ascii="宋体" w:hAnsi="宋体" w:cs="宋体"/>
                <w:kern w:val="0"/>
                <w:szCs w:val="21"/>
                <w:highlight w:val="none"/>
                <w:lang w:val="zh-CN"/>
              </w:rPr>
              <w:t>项目组织机构</w:t>
            </w:r>
          </w:p>
        </w:tc>
        <w:tc>
          <w:tcPr>
            <w:tcW w:w="4360" w:type="dxa"/>
          </w:tcPr>
          <w:p w14:paraId="1689EF84">
            <w:pPr>
              <w:spacing w:line="400" w:lineRule="exact"/>
              <w:jc w:val="left"/>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见招标公告附件评标办法</w:t>
            </w:r>
          </w:p>
        </w:tc>
      </w:tr>
      <w:tr w14:paraId="6AB6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21AAB6EB">
            <w:pPr>
              <w:spacing w:line="400" w:lineRule="exact"/>
              <w:jc w:val="left"/>
              <w:rPr>
                <w:rFonts w:hint="eastAsia" w:ascii="宋体" w:hAnsi="宋体" w:cs="宋体"/>
                <w:snapToGrid w:val="0"/>
                <w:kern w:val="0"/>
                <w:szCs w:val="21"/>
                <w:highlight w:val="none"/>
              </w:rPr>
            </w:pPr>
          </w:p>
        </w:tc>
        <w:tc>
          <w:tcPr>
            <w:tcW w:w="3875" w:type="dxa"/>
            <w:vAlign w:val="center"/>
          </w:tcPr>
          <w:p w14:paraId="2D380BB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w:t>
            </w:r>
          </w:p>
        </w:tc>
        <w:tc>
          <w:tcPr>
            <w:tcW w:w="4360" w:type="dxa"/>
          </w:tcPr>
          <w:p w14:paraId="5A257997">
            <w:pPr>
              <w:spacing w:line="400" w:lineRule="exact"/>
              <w:jc w:val="left"/>
              <w:rPr>
                <w:rFonts w:hint="eastAsia" w:ascii="宋体" w:hAnsi="宋体" w:cs="宋体"/>
                <w:szCs w:val="21"/>
                <w:highlight w:val="none"/>
              </w:rPr>
            </w:pPr>
            <w:r>
              <w:rPr>
                <w:rFonts w:hint="eastAsia" w:ascii="宋体" w:hAnsi="宋体" w:cs="宋体"/>
                <w:snapToGrid w:val="0"/>
                <w:kern w:val="0"/>
                <w:szCs w:val="21"/>
                <w:highlight w:val="none"/>
              </w:rPr>
              <w:t>见招标公告附件评标办法</w:t>
            </w:r>
          </w:p>
        </w:tc>
      </w:tr>
      <w:tr w14:paraId="6750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735DD78A">
            <w:pPr>
              <w:spacing w:line="400" w:lineRule="exact"/>
              <w:jc w:val="left"/>
              <w:rPr>
                <w:rFonts w:hint="eastAsia" w:ascii="宋体" w:hAnsi="宋体" w:cs="宋体"/>
                <w:snapToGrid w:val="0"/>
                <w:kern w:val="0"/>
                <w:szCs w:val="21"/>
                <w:highlight w:val="none"/>
              </w:rPr>
            </w:pPr>
            <w:bookmarkStart w:id="222" w:name="_Toc93404000"/>
            <w:bookmarkStart w:id="223" w:name="_Toc82"/>
            <w:bookmarkStart w:id="224" w:name="_Toc17294"/>
          </w:p>
        </w:tc>
        <w:tc>
          <w:tcPr>
            <w:tcW w:w="3875" w:type="dxa"/>
            <w:vAlign w:val="center"/>
          </w:tcPr>
          <w:p w14:paraId="7222CEE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企业荣誉、信用</w:t>
            </w:r>
          </w:p>
        </w:tc>
        <w:tc>
          <w:tcPr>
            <w:tcW w:w="4360" w:type="dxa"/>
          </w:tcPr>
          <w:p w14:paraId="3C67706B">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bookmarkEnd w:id="221"/>
    </w:tbl>
    <w:p w14:paraId="1A60D30C">
      <w:pPr>
        <w:pStyle w:val="4"/>
        <w:keepNext w:val="0"/>
        <w:keepLines w:val="0"/>
        <w:spacing w:before="0" w:after="0" w:line="400" w:lineRule="exact"/>
        <w:jc w:val="left"/>
        <w:rPr>
          <w:rFonts w:hint="eastAsia" w:ascii="宋体" w:hAnsi="宋体" w:cs="宋体"/>
          <w:b w:val="0"/>
          <w:snapToGrid w:val="0"/>
          <w:sz w:val="28"/>
          <w:szCs w:val="28"/>
          <w:highlight w:val="none"/>
        </w:rPr>
      </w:pPr>
    </w:p>
    <w:p w14:paraId="0F8D4350">
      <w:pPr>
        <w:pStyle w:val="4"/>
        <w:keepNext w:val="0"/>
        <w:keepLines w:val="0"/>
        <w:spacing w:before="0" w:after="0" w:line="400" w:lineRule="exact"/>
        <w:jc w:val="left"/>
        <w:rPr>
          <w:rFonts w:hint="eastAsia" w:ascii="宋体" w:hAnsi="宋体" w:cs="宋体"/>
          <w:b w:val="0"/>
          <w:snapToGrid w:val="0"/>
          <w:sz w:val="28"/>
          <w:szCs w:val="28"/>
          <w:highlight w:val="none"/>
        </w:rPr>
      </w:pPr>
    </w:p>
    <w:p w14:paraId="395C0045">
      <w:pPr>
        <w:pStyle w:val="4"/>
        <w:keepNext w:val="0"/>
        <w:keepLines w:val="0"/>
        <w:spacing w:before="0" w:after="0" w:line="400" w:lineRule="exact"/>
        <w:jc w:val="left"/>
        <w:rPr>
          <w:rFonts w:hint="eastAsia" w:ascii="宋体" w:hAnsi="宋体" w:cs="宋体"/>
          <w:b w:val="0"/>
          <w:snapToGrid w:val="0"/>
          <w:sz w:val="28"/>
          <w:szCs w:val="28"/>
          <w:highlight w:val="none"/>
        </w:rPr>
      </w:pPr>
    </w:p>
    <w:p w14:paraId="1983375A">
      <w:pPr>
        <w:pStyle w:val="4"/>
        <w:keepNext w:val="0"/>
        <w:keepLines w:val="0"/>
        <w:spacing w:before="0" w:after="0" w:line="400" w:lineRule="exact"/>
        <w:jc w:val="left"/>
        <w:rPr>
          <w:rFonts w:hint="eastAsia" w:ascii="宋体" w:hAnsi="宋体" w:cs="宋体"/>
          <w:b w:val="0"/>
          <w:snapToGrid w:val="0"/>
          <w:sz w:val="28"/>
          <w:szCs w:val="28"/>
          <w:highlight w:val="none"/>
        </w:rPr>
      </w:pPr>
    </w:p>
    <w:p w14:paraId="572ED9C6">
      <w:pPr>
        <w:pStyle w:val="4"/>
        <w:keepNext w:val="0"/>
        <w:keepLines w:val="0"/>
        <w:spacing w:before="0" w:after="0" w:line="400" w:lineRule="exact"/>
        <w:jc w:val="left"/>
        <w:rPr>
          <w:rFonts w:hint="eastAsia" w:ascii="宋体" w:hAnsi="宋体" w:cs="宋体"/>
          <w:snapToGrid w:val="0"/>
          <w:highlight w:val="none"/>
        </w:rPr>
      </w:pPr>
      <w:r>
        <w:rPr>
          <w:rFonts w:hint="eastAsia" w:ascii="宋体" w:hAnsi="宋体" w:cs="宋体"/>
          <w:b w:val="0"/>
          <w:snapToGrid w:val="0"/>
          <w:sz w:val="28"/>
          <w:szCs w:val="28"/>
          <w:highlight w:val="none"/>
        </w:rPr>
        <w:t>1.评标方法</w:t>
      </w:r>
      <w:bookmarkEnd w:id="222"/>
      <w:bookmarkEnd w:id="223"/>
      <w:bookmarkEnd w:id="224"/>
    </w:p>
    <w:p w14:paraId="3B6565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本工程采用综合评估法评标办法，由依法组建的评标委员会按下列评分细则评分,以评标委员会所评得的综合得分从高到低按顺序排列,并推荐不超过三位得分最高者为中标候选人，如投标人得分相同时，则投标报价低的优先，如投标报价也相同，由招标人以抽签方式确定排序；中标人放弃中标、因不可抗力提出不能履行合同，或者招标文件规定应当提交履约保证金而在规定时限内未能提交的，招标人可以确定排序第二的中标候选人为中标人，依此类推。</w:t>
      </w:r>
    </w:p>
    <w:p w14:paraId="3BE4B76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评标委员会对于投标人未按照第二章“投标人须知”第3.5项规定提供的信用资料将不予认定。</w:t>
      </w:r>
    </w:p>
    <w:p w14:paraId="505C5776">
      <w:pPr>
        <w:pStyle w:val="4"/>
        <w:keepNext w:val="0"/>
        <w:keepLines w:val="0"/>
        <w:spacing w:before="0" w:after="0" w:line="400" w:lineRule="exact"/>
        <w:jc w:val="left"/>
        <w:rPr>
          <w:rFonts w:hint="eastAsia" w:ascii="宋体" w:hAnsi="宋体" w:cs="宋体"/>
          <w:b w:val="0"/>
          <w:snapToGrid w:val="0"/>
          <w:sz w:val="28"/>
          <w:szCs w:val="28"/>
          <w:highlight w:val="none"/>
        </w:rPr>
      </w:pPr>
      <w:bookmarkStart w:id="225" w:name="_Toc21531"/>
      <w:bookmarkStart w:id="226" w:name="_Toc1244"/>
      <w:bookmarkStart w:id="227" w:name="_Toc93404001"/>
      <w:r>
        <w:rPr>
          <w:rFonts w:hint="eastAsia" w:ascii="宋体" w:hAnsi="宋体" w:cs="宋体"/>
          <w:b w:val="0"/>
          <w:snapToGrid w:val="0"/>
          <w:sz w:val="28"/>
          <w:szCs w:val="28"/>
          <w:highlight w:val="none"/>
        </w:rPr>
        <w:t>2.评审标准</w:t>
      </w:r>
      <w:bookmarkEnd w:id="225"/>
      <w:bookmarkEnd w:id="226"/>
      <w:bookmarkEnd w:id="227"/>
    </w:p>
    <w:p w14:paraId="0194256F">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2.1初步评审标准</w:t>
      </w:r>
    </w:p>
    <w:p w14:paraId="2B6CC57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2.1.1形式评审标准：见评标办法前附表。</w:t>
      </w:r>
      <w:bookmarkStart w:id="228" w:name="资格后审7"/>
    </w:p>
    <w:p w14:paraId="06DFBA7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2.1.2资格评审标准：见评标办法前附表。</w:t>
      </w:r>
    </w:p>
    <w:bookmarkEnd w:id="228"/>
    <w:p w14:paraId="5001964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2.1.3响应性评审标准：见评标办法前附表。</w:t>
      </w:r>
    </w:p>
    <w:p w14:paraId="67EFDE1A">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2.2详细评审分值构成与评分标准</w:t>
      </w:r>
    </w:p>
    <w:p w14:paraId="7828709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2.2.1分值构成</w:t>
      </w:r>
    </w:p>
    <w:p w14:paraId="42747FA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(1)技术部分：包括全过程工程咨询服务</w:t>
      </w:r>
      <w:r>
        <w:rPr>
          <w:rFonts w:hint="eastAsia" w:ascii="宋体" w:hAnsi="宋体" w:cs="宋体"/>
          <w:snapToGrid w:val="0"/>
          <w:kern w:val="0"/>
          <w:szCs w:val="21"/>
          <w:highlight w:val="none"/>
        </w:rPr>
        <w:t>实施方案</w:t>
      </w:r>
      <w:r>
        <w:rPr>
          <w:rFonts w:hint="eastAsia" w:ascii="宋体" w:hAnsi="宋体" w:cs="宋体"/>
          <w:snapToGrid w:val="0"/>
          <w:kern w:val="0"/>
          <w:highlight w:val="none"/>
        </w:rPr>
        <w:t>及负责人答辩，分值见评标办法前附表；</w:t>
      </w:r>
    </w:p>
    <w:p w14:paraId="0A526DC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(2)商务部分：包括全过程工程咨询服务项目总负责人、全过程工程咨询服务机构人员（其他人员）、投标报价、业绩与信誉，分值见评标办法前附表；</w:t>
      </w:r>
    </w:p>
    <w:p w14:paraId="17496C8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2.2.2评标基准价计算</w:t>
      </w:r>
    </w:p>
    <w:p w14:paraId="76D4D0E7">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评标基准价计算方法：见评标办法前附表。</w:t>
      </w:r>
    </w:p>
    <w:p w14:paraId="5D5F1CA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2.2.3 技术部分评分标准：包括全过程工程咨询服务</w:t>
      </w:r>
      <w:r>
        <w:rPr>
          <w:rFonts w:hint="eastAsia" w:ascii="宋体" w:hAnsi="宋体" w:cs="宋体"/>
          <w:snapToGrid w:val="0"/>
          <w:kern w:val="0"/>
          <w:szCs w:val="21"/>
          <w:highlight w:val="none"/>
        </w:rPr>
        <w:t>实施</w:t>
      </w:r>
      <w:r>
        <w:rPr>
          <w:rFonts w:hint="eastAsia" w:ascii="宋体" w:hAnsi="宋体" w:cs="宋体"/>
          <w:snapToGrid w:val="0"/>
          <w:kern w:val="0"/>
          <w:highlight w:val="none"/>
        </w:rPr>
        <w:t>方案及负责人答辩，评分标准见评标办法前附表；</w:t>
      </w:r>
    </w:p>
    <w:p w14:paraId="24DB6B3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2.2.4 商务部分评分标准：包括全过程工程咨询服务项目总负责人、全过程工程咨询服务机构人员（其他人员）、投标报价、业绩与信誉，评分标准见评标办法前附表；</w:t>
      </w:r>
    </w:p>
    <w:p w14:paraId="10AD056F">
      <w:pPr>
        <w:pStyle w:val="4"/>
        <w:keepNext w:val="0"/>
        <w:keepLines w:val="0"/>
        <w:spacing w:before="0" w:after="0" w:line="400" w:lineRule="exact"/>
        <w:jc w:val="left"/>
        <w:rPr>
          <w:rFonts w:hint="eastAsia" w:ascii="宋体" w:hAnsi="宋体" w:cs="宋体"/>
          <w:b w:val="0"/>
          <w:snapToGrid w:val="0"/>
          <w:sz w:val="28"/>
          <w:szCs w:val="28"/>
          <w:highlight w:val="none"/>
        </w:rPr>
      </w:pPr>
      <w:bookmarkStart w:id="229" w:name="_Toc93404002"/>
      <w:bookmarkStart w:id="230" w:name="_Toc15350"/>
      <w:bookmarkStart w:id="231" w:name="_Toc7349"/>
      <w:r>
        <w:rPr>
          <w:rFonts w:hint="eastAsia" w:ascii="宋体" w:hAnsi="宋体" w:cs="宋体"/>
          <w:b w:val="0"/>
          <w:snapToGrid w:val="0"/>
          <w:sz w:val="28"/>
          <w:szCs w:val="28"/>
          <w:highlight w:val="none"/>
        </w:rPr>
        <w:t>3.评标程序</w:t>
      </w:r>
      <w:bookmarkEnd w:id="229"/>
      <w:bookmarkEnd w:id="230"/>
      <w:bookmarkEnd w:id="231"/>
    </w:p>
    <w:p w14:paraId="58B62EBE">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3.1评标准备</w:t>
      </w:r>
    </w:p>
    <w:p w14:paraId="1499353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3.1.1招标人应向评标委员会提供与评标有关的工程项目信息、数据和资料，所提供的资料和信息不得带有不公正、影响或排斥某些投标人的情况。</w:t>
      </w:r>
    </w:p>
    <w:p w14:paraId="549C5B1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w:t>
      </w:r>
      <w:r>
        <w:rPr>
          <w:rFonts w:hint="eastAsia" w:ascii="宋体" w:hAnsi="宋体" w:cs="宋体"/>
          <w:snapToGrid w:val="0"/>
          <w:kern w:val="0"/>
          <w:highlight w:val="none"/>
          <w:lang w:val="en-US" w:eastAsia="zh-CN"/>
        </w:rPr>
        <w:t>2</w:t>
      </w:r>
      <w:r>
        <w:rPr>
          <w:rFonts w:hint="eastAsia" w:ascii="宋体" w:hAnsi="宋体" w:cs="宋体"/>
          <w:snapToGrid w:val="0"/>
          <w:kern w:val="0"/>
          <w:highlight w:val="none"/>
        </w:rPr>
        <w:t>评标委员会成员应独立研读招标文件。对招标文件中存在的问题的处理应由评标委员会讨论决定。评标委员会可要求招标人对招标文件的内容作必要的澄清、说明，但澄清、说明不得改变招标文件的实质内容。</w:t>
      </w:r>
    </w:p>
    <w:p w14:paraId="0D5FA42E">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3.2初步评审</w:t>
      </w:r>
    </w:p>
    <w:p w14:paraId="292A20E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3.2.1形式性评审</w:t>
      </w:r>
    </w:p>
    <w:p w14:paraId="503BF2A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26D8391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3.2.2资格评审</w:t>
      </w:r>
    </w:p>
    <w:p w14:paraId="501249E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68AAA92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3.2.3响应性评审</w:t>
      </w:r>
    </w:p>
    <w:p w14:paraId="7628A69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108B019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3.2.4投标报价有算术错误的，评标委员会按以下原则对投标报价进行修正，修正的价格经投标人书面确认后具有约束力。投标人不接受修正价格的，评标委员会应当否决其投标。</w:t>
      </w:r>
    </w:p>
    <w:p w14:paraId="3FC99E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（1）投标文件中的大写金额与小写金额不一致的，以大写金额为准；</w:t>
      </w:r>
    </w:p>
    <w:p w14:paraId="34C342E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（2）总价金额与依据单项报价计算出的结果不一致的，以单项报价金额为准修正总价，但单项报价金额小数点有明显错误、四舍五入原因的除外；</w:t>
      </w:r>
    </w:p>
    <w:p w14:paraId="41E9A0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3.2.5澄清、说明或补正</w:t>
      </w:r>
    </w:p>
    <w:p w14:paraId="3AB01B0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在初步评审过程中，评标委员会应当就投标文件中不明确的内容要求投标人进行澄清、说明或补正，澄清、说明或补正按照本章第3.4款的规定进行。</w:t>
      </w:r>
    </w:p>
    <w:p w14:paraId="1108BE1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3.2.6投标文件有下列情况之一的，属于重大偏差，视为未能对中招标文件做出实质性相应，应当作为无效投标予以否决：</w:t>
      </w:r>
    </w:p>
    <w:p w14:paraId="17726D0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B1.1投标文件中的投标函未加盖投标人的公章（采用电子招标的为电子印章、电子签名，下同）；</w:t>
      </w:r>
    </w:p>
    <w:p w14:paraId="1BCE51A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B1.2投标文件中的投标函未加盖企业法定代表人（或企业法定代表人委托代理人）印章（或签字）的；</w:t>
      </w:r>
    </w:p>
    <w:p w14:paraId="551E796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B1.3如投标函加盖企业法定代表人委托代理人印章（或签字）的，企业法定代表人委托代理人没有合法、有效的委托书（原件）的；</w:t>
      </w:r>
    </w:p>
    <w:p w14:paraId="0D23940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B1.4投标人资格条件不符合国家有关规定或招标文件要求的；</w:t>
      </w:r>
    </w:p>
    <w:p w14:paraId="28F2617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B1.5投标人名称或组织结构与资格预审时不一致的；</w:t>
      </w:r>
    </w:p>
    <w:p w14:paraId="759261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B1.6除在投标截止时间前经招标人书面同意外，项目经理与资格预审时不一致的；</w:t>
      </w:r>
    </w:p>
    <w:p w14:paraId="0BA4363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B1.7组成联合体投标未提供联合体各方共同投标协议的；</w:t>
      </w:r>
    </w:p>
    <w:p w14:paraId="35C04A3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B1.8在同一招标项目中，联合体成员以自己名义单独投标或者参加其他联合体投标的；</w:t>
      </w:r>
    </w:p>
    <w:p w14:paraId="2CEC44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B1.9联合体成员与资格预审确定的结果不一致的；</w:t>
      </w:r>
    </w:p>
    <w:p w14:paraId="7F135DC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B1.10投标报价低于成本或者高于招标文件设定的最高投标限价的；</w:t>
      </w:r>
    </w:p>
    <w:p w14:paraId="2500F58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B1.11同一投标人提交两个及以上不同的投标文件或者投标报价，但招标文件要求提交备选投标的除外；</w:t>
      </w:r>
    </w:p>
    <w:p w14:paraId="30D8274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B1.12与招标文件规定的暂估价、暂列金额及甲供材料价格不一致的；</w:t>
      </w:r>
    </w:p>
    <w:p w14:paraId="6F6732C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B1.13与招标文件明确列出的不可竞争费用项目或费率或计算基础不一致的；</w:t>
      </w:r>
    </w:p>
    <w:p w14:paraId="65138BF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B1.14与招标文件提供的工程量清单中的项目编码、项目名称、项目特征、计量单位、工程量不相同的；</w:t>
      </w:r>
    </w:p>
    <w:p w14:paraId="39ECE8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B1.15未按招标文件要求提供投标保证金的；</w:t>
      </w:r>
    </w:p>
    <w:p w14:paraId="509227A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B1.16投标文件载明的招标项目完成期限超过招标文件规定的期限的；</w:t>
      </w:r>
    </w:p>
    <w:p w14:paraId="12093B6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B1.17明显不符合技术规范、技术标准的要求的；</w:t>
      </w:r>
    </w:p>
    <w:p w14:paraId="07393F5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B1.18投标文件载明的货物包装方式、检验标准和方法、材料品牌的选择等不符合招标文件的要求的；</w:t>
      </w:r>
    </w:p>
    <w:p w14:paraId="3A40447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B1.19投标文件提出了不能满足招标文件要求或招标人不能接受的工程验收、计量、价款结算和支付办法的；</w:t>
      </w:r>
    </w:p>
    <w:p w14:paraId="4E8FBB8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B1.20未按招标文件要求提供电子投标文件或电子投标文件无法导入计算机评标系统或投标文件未能解密且按照招标文件明确的投标文件解密失败的补救方案补救不成功的；</w:t>
      </w:r>
    </w:p>
    <w:p w14:paraId="7B1B427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B1.21不同投标人的投标文件以及投标文件制作过程出现了评标委员会认为不应当雷同的情况的；</w:t>
      </w:r>
    </w:p>
    <w:p w14:paraId="5FD220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B1.22以他人的名义投标、串通投标、以行贿手段谋取中标或者以其他弄虚作假方式投标的；</w:t>
      </w:r>
    </w:p>
    <w:p w14:paraId="1B443A9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B1.23不符合招标文件有关暗标的要求的；</w:t>
      </w:r>
    </w:p>
    <w:p w14:paraId="2387BCE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B1.24招标文件要求出席开标会议的投标人代表未准时出席开标会议或未带招标文件规定的证书、证明原件的；</w:t>
      </w:r>
    </w:p>
    <w:p w14:paraId="296760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B1.25参加符合性检查的项目经理与投标文件中的项目经理不一致的；</w:t>
      </w:r>
    </w:p>
    <w:p w14:paraId="7DFF6BD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B1.26不按评标委员会要求澄清、说明或补正的；</w:t>
      </w:r>
    </w:p>
    <w:p w14:paraId="4AD848C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B1.27投标报价有算术错误的，评标委员会按招标文件规定对投标报价进行修正，投标人不接受修正价格的；</w:t>
      </w:r>
    </w:p>
    <w:p w14:paraId="666DE7D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B1.28投标报价经算术性错误修正后，最终投标报价超过最高限价或低于成本价的；</w:t>
      </w:r>
    </w:p>
    <w:p w14:paraId="216512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B1.29启用投标文件电子文本的项目，投标人因自身原因造成投标文件电子文本无法导入应急开评标系统的，视为放弃其投标</w:t>
      </w:r>
    </w:p>
    <w:p w14:paraId="3D74633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B1.30不同投标人的投标文件异常一致或者投标报价呈规律性差异的。</w:t>
      </w:r>
    </w:p>
    <w:p w14:paraId="350EDA7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B1.31投标文件关键内容模糊、无法辨认的</w:t>
      </w:r>
    </w:p>
    <w:p w14:paraId="15DF1A5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B1.32 投标文件中提供的证明材料，与各地公共资源交易中心、行政监督部门网站公示实质 内容不一致的</w:t>
      </w:r>
    </w:p>
    <w:p w14:paraId="2B03182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B1.33 投标文件中未提交本单位及法定代表人（或其委托代理人签署的）《投标诚信承诺书》 的。</w:t>
      </w:r>
    </w:p>
    <w:p w14:paraId="30C397F8">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3.3详细评审</w:t>
      </w:r>
    </w:p>
    <w:p w14:paraId="5AA9D73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3.3.1评标委员会按本章第2.2款规定的评分因素和评分标准，对投标文件的技术文件和商务文件进行评审打分，并计算出综合评估得分，各项分值计算均保留小数点后两位，小数点后第三位“四舍五入”。</w:t>
      </w:r>
    </w:p>
    <w:p w14:paraId="40B235D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3.3.2技术文件评审内容包括全过程工程咨询服务</w:t>
      </w:r>
      <w:r>
        <w:rPr>
          <w:rFonts w:hint="eastAsia" w:ascii="宋体" w:hAnsi="宋体" w:cs="宋体"/>
          <w:snapToGrid w:val="0"/>
          <w:kern w:val="0"/>
          <w:szCs w:val="21"/>
          <w:highlight w:val="none"/>
        </w:rPr>
        <w:t>实施方案</w:t>
      </w:r>
      <w:r>
        <w:rPr>
          <w:rFonts w:hint="eastAsia" w:ascii="宋体" w:hAnsi="宋体" w:cs="宋体"/>
          <w:snapToGrid w:val="0"/>
          <w:kern w:val="0"/>
          <w:highlight w:val="none"/>
        </w:rPr>
        <w:t>，评分分值计算应按评标委员会成员打分中去掉一个最高分和一个最低分后取平均值。</w:t>
      </w:r>
    </w:p>
    <w:p w14:paraId="0FC76EC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3.3.3商务文件评审内容包括投标报价、全过程工程咨询服务机构人员、业绩、荣誉与信用等级，评分分值分值应由评委会共同确认。如存在争议，按本章3.6条处理。</w:t>
      </w:r>
    </w:p>
    <w:p w14:paraId="70F20961">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3.4投标文件的澄清和补正</w:t>
      </w:r>
    </w:p>
    <w:p w14:paraId="105ED1D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3.4.1在评标过程中，评标委员会可以以书面形式要求投标人对所提交投标文件中不明确的内容进行书面澄清或说明，或者对细微偏差进行补正。评标委员会不接受投标人主动提出的澄清、说明或补正。</w:t>
      </w:r>
    </w:p>
    <w:p w14:paraId="20A3F0E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3.4.2澄清、说明和补正不得改变投标文件的实质性内容（算术性错误修正的除外）。投标人的书面澄清、说明和补正属于投标文件的组成部分。</w:t>
      </w:r>
    </w:p>
    <w:p w14:paraId="4C5DAD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3.4.3评标委员会对投标人提交的澄清、说明或补正有疑问的，可以要求投标人进一步澄清、说明或补正，直至满足评标委员会的要求。</w:t>
      </w:r>
    </w:p>
    <w:p w14:paraId="40DCA4EF">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3.5</w:t>
      </w:r>
      <w:r>
        <w:rPr>
          <w:rFonts w:hint="eastAsia" w:ascii="宋体" w:hAnsi="宋体" w:cs="宋体"/>
          <w:highlight w:val="none"/>
        </w:rPr>
        <w:t>推荐中标候选人或直接确定中标人</w:t>
      </w:r>
    </w:p>
    <w:p w14:paraId="6BB02B8E">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snapToGrid w:val="0"/>
          <w:kern w:val="0"/>
          <w:highlight w:val="none"/>
        </w:rPr>
        <w:t>3.5.1除第二章“投标人须知”前附表授权直接确定中标人外，</w:t>
      </w:r>
      <w:r>
        <w:rPr>
          <w:rFonts w:hint="eastAsia" w:ascii="宋体" w:hAnsi="宋体" w:cs="宋体"/>
          <w:kern w:val="0"/>
          <w:szCs w:val="21"/>
          <w:highlight w:val="none"/>
        </w:rPr>
        <w:t>评标委员会在推荐中标候选人时，应遵照以下原则：</w:t>
      </w:r>
    </w:p>
    <w:p w14:paraId="6083D268">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(1)评标委员会按照最终得分由高至低的次序排列，并根据投标人须知前附表规定的中标候选人数量，将排序在前的投标人推荐为中标候选人。</w:t>
      </w:r>
    </w:p>
    <w:p w14:paraId="3C2BC84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(2)如果评标委员会根据本章的规定作无效标处理后，有效投标不足三个，且少于投标人须知前附表规定的中标候选人数量的，则评标委员会可以将所有有效投标按最终得分由高至低的次序作为中标候选人向招标人推荐。如果因有效投标不足三个使得投标明显缺乏竞争的，评标委员会可以否决所有投标。</w:t>
      </w:r>
    </w:p>
    <w:p w14:paraId="76B0411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3.5.2</w:t>
      </w:r>
      <w:r>
        <w:rPr>
          <w:rFonts w:hint="eastAsia" w:ascii="宋体" w:hAnsi="宋体" w:cs="宋体"/>
          <w:kern w:val="0"/>
          <w:szCs w:val="21"/>
          <w:highlight w:val="none"/>
        </w:rPr>
        <w:t>投标人须知前附表授权评标委员会直接确定中标人的，评标委员会按照最终得分由高至低的次序排列，并确定排名第一的投标人为中标人。</w:t>
      </w:r>
    </w:p>
    <w:p w14:paraId="62BDC04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3.5.3评标委员会完成评标后，应当向招标人提交评标报告。</w:t>
      </w:r>
      <w:r>
        <w:rPr>
          <w:rFonts w:hint="eastAsia" w:ascii="宋体" w:hAnsi="宋体" w:cs="宋体"/>
          <w:kern w:val="0"/>
          <w:szCs w:val="21"/>
          <w:highlight w:val="none"/>
        </w:rPr>
        <w:t>评标报告应当由全体评标委员会成员签字</w:t>
      </w:r>
      <w:r>
        <w:rPr>
          <w:rFonts w:hint="eastAsia" w:ascii="宋体" w:hAnsi="宋体" w:cs="宋体"/>
          <w:snapToGrid w:val="0"/>
          <w:kern w:val="0"/>
          <w:highlight w:val="none"/>
        </w:rPr>
        <w:t>。招标人将在规定时间内</w:t>
      </w:r>
      <w:r>
        <w:rPr>
          <w:rFonts w:hint="eastAsia" w:ascii="宋体" w:hAnsi="宋体" w:cs="宋体"/>
          <w:kern w:val="0"/>
          <w:szCs w:val="21"/>
          <w:highlight w:val="none"/>
        </w:rPr>
        <w:t>抄送有关行政监督部门备案。</w:t>
      </w:r>
    </w:p>
    <w:p w14:paraId="24867B86">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3.6评标争议处理</w:t>
      </w:r>
    </w:p>
    <w:p w14:paraId="563D96B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3.6.1评标委员会全体成员应独立评审，对所提出的评审意见承担个人责任。</w:t>
      </w:r>
    </w:p>
    <w:p w14:paraId="13CB34C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3.6.2评标委员会对需要全体成员共同确认的重大事项各成员意见不一致的应进行表决。表决事项经评标委员会全体成员超过半数以上同意视为有效，表决不得违背法律、法规和招标文件的规定。</w:t>
      </w:r>
    </w:p>
    <w:p w14:paraId="75B3C73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3.6.3本评标办法中需要评标委员会全体成员共同确认的重大事项是指：</w:t>
      </w:r>
    </w:p>
    <w:p w14:paraId="0CEFB4C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(1)按本章3.2条款投标做废标处理的；</w:t>
      </w:r>
    </w:p>
    <w:p w14:paraId="62F5DCC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(2)按本章3.3条款投标人有关资格、业绩等认定的；</w:t>
      </w:r>
    </w:p>
    <w:p w14:paraId="0D238C8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(3)按本章3.4条款要求投标人澄清、说明或补正的；</w:t>
      </w:r>
    </w:p>
    <w:p w14:paraId="27D2961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(4)其他有可能影响评标结果、可能对投标人产生不公、或者可能影响招标人利益的。</w:t>
      </w:r>
    </w:p>
    <w:p w14:paraId="54D3FC8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3.6.4评标委员会成员对书面决议或评审结论持有异议的，应当书面阐述其不同意见和理由。拒绝在书面决议或评标报告上签名且不陈述其不同意见和理由的，视为同意书面决议或评标结论。评标委员会应当在评标报告中做出说明。</w:t>
      </w:r>
    </w:p>
    <w:p w14:paraId="638B34D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3.6.5评标委员会形成的最终评审结论，应能体现大多数评委的评审意见，如有超过二分之一的评委提出异议的，应当当场重新评审。</w:t>
      </w:r>
    </w:p>
    <w:p w14:paraId="6E76CA42">
      <w:pPr>
        <w:spacing w:line="400" w:lineRule="exact"/>
        <w:ind w:firstLine="420" w:firstLineChars="200"/>
        <w:jc w:val="left"/>
        <w:rPr>
          <w:rFonts w:hint="eastAsia" w:ascii="宋体" w:hAnsi="宋体" w:cs="宋体"/>
          <w:snapToGrid w:val="0"/>
          <w:kern w:val="0"/>
          <w:highlight w:val="none"/>
        </w:rPr>
      </w:pPr>
    </w:p>
    <w:p w14:paraId="5E3A41FB">
      <w:pPr>
        <w:spacing w:line="360" w:lineRule="auto"/>
        <w:ind w:firstLine="420" w:firstLineChars="200"/>
        <w:jc w:val="left"/>
        <w:rPr>
          <w:rFonts w:hint="eastAsia" w:ascii="宋体" w:hAnsi="宋体" w:cs="宋体"/>
          <w:snapToGrid w:val="0"/>
          <w:kern w:val="0"/>
          <w:highlight w:val="none"/>
        </w:rPr>
      </w:pPr>
    </w:p>
    <w:p w14:paraId="7C022BB2">
      <w:pPr>
        <w:spacing w:line="360" w:lineRule="auto"/>
        <w:ind w:firstLine="420" w:firstLineChars="200"/>
        <w:jc w:val="left"/>
        <w:rPr>
          <w:rFonts w:hint="eastAsia" w:ascii="宋体" w:hAnsi="宋体" w:cs="宋体"/>
          <w:snapToGrid w:val="0"/>
          <w:kern w:val="0"/>
          <w:highlight w:val="none"/>
        </w:rPr>
      </w:pPr>
    </w:p>
    <w:p w14:paraId="7A5352FB">
      <w:pPr>
        <w:spacing w:line="360" w:lineRule="auto"/>
        <w:ind w:firstLine="420" w:firstLineChars="200"/>
        <w:jc w:val="left"/>
        <w:rPr>
          <w:rFonts w:hint="eastAsia" w:ascii="宋体" w:hAnsi="宋体" w:cs="宋体"/>
          <w:snapToGrid w:val="0"/>
          <w:kern w:val="0"/>
          <w:highlight w:val="none"/>
        </w:rPr>
      </w:pPr>
    </w:p>
    <w:p w14:paraId="69A3692F">
      <w:pPr>
        <w:spacing w:line="360" w:lineRule="auto"/>
        <w:ind w:firstLine="420" w:firstLineChars="200"/>
        <w:jc w:val="left"/>
        <w:rPr>
          <w:rFonts w:hint="eastAsia" w:ascii="宋体" w:hAnsi="宋体" w:cs="宋体"/>
          <w:snapToGrid w:val="0"/>
          <w:kern w:val="0"/>
          <w:highlight w:val="none"/>
        </w:rPr>
      </w:pPr>
    </w:p>
    <w:p w14:paraId="3D070F9C">
      <w:pPr>
        <w:spacing w:line="360" w:lineRule="auto"/>
        <w:ind w:firstLine="420" w:firstLineChars="200"/>
        <w:jc w:val="left"/>
        <w:rPr>
          <w:rFonts w:hint="eastAsia" w:ascii="宋体" w:hAnsi="宋体" w:cs="宋体"/>
          <w:snapToGrid w:val="0"/>
          <w:kern w:val="0"/>
          <w:highlight w:val="none"/>
        </w:rPr>
      </w:pPr>
    </w:p>
    <w:p w14:paraId="52EE9DDA">
      <w:pPr>
        <w:spacing w:line="360" w:lineRule="auto"/>
        <w:ind w:firstLine="420" w:firstLineChars="200"/>
        <w:jc w:val="left"/>
        <w:rPr>
          <w:rFonts w:hint="eastAsia" w:ascii="宋体" w:hAnsi="宋体" w:cs="宋体"/>
          <w:snapToGrid w:val="0"/>
          <w:kern w:val="0"/>
          <w:highlight w:val="none"/>
        </w:rPr>
      </w:pPr>
    </w:p>
    <w:p w14:paraId="272A874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br w:type="page"/>
      </w:r>
    </w:p>
    <w:p w14:paraId="25950C95">
      <w:pPr>
        <w:spacing w:line="400" w:lineRule="exact"/>
        <w:jc w:val="center"/>
        <w:rPr>
          <w:rFonts w:hint="eastAsia" w:ascii="宋体" w:hAnsi="宋体" w:eastAsia="宋体" w:cs="宋体"/>
          <w:b/>
          <w:bCs/>
          <w:snapToGrid w:val="0"/>
          <w:kern w:val="0"/>
          <w:sz w:val="32"/>
          <w:highlight w:val="none"/>
        </w:rPr>
      </w:pPr>
      <w:bookmarkStart w:id="232" w:name="_Toc93404003"/>
      <w:bookmarkStart w:id="233" w:name="_Toc9006"/>
      <w:bookmarkStart w:id="234" w:name="_Toc207"/>
      <w:r>
        <w:rPr>
          <w:rFonts w:hint="default" w:ascii="宋体" w:hAnsi="宋体" w:eastAsia="宋体" w:cs="宋体"/>
          <w:b/>
          <w:bCs/>
          <w:snapToGrid w:val="0"/>
          <w:kern w:val="0"/>
          <w:sz w:val="32"/>
          <w:highlight w:val="none"/>
          <w:lang w:val="en-US" w:eastAsia="zh-CN"/>
        </w:rPr>
        <w:t>第四章</w:t>
      </w:r>
      <w:r>
        <w:rPr>
          <w:rFonts w:hint="eastAsia" w:ascii="宋体" w:hAnsi="宋体" w:eastAsia="宋体" w:cs="宋体"/>
          <w:b/>
          <w:bCs/>
          <w:snapToGrid w:val="0"/>
          <w:kern w:val="0"/>
          <w:sz w:val="32"/>
          <w:highlight w:val="none"/>
        </w:rPr>
        <w:t>合同条款及格式</w:t>
      </w:r>
      <w:bookmarkEnd w:id="232"/>
      <w:bookmarkEnd w:id="233"/>
      <w:bookmarkEnd w:id="234"/>
    </w:p>
    <w:p w14:paraId="62107CC7">
      <w:pPr>
        <w:spacing w:line="360" w:lineRule="auto"/>
        <w:jc w:val="left"/>
        <w:outlineLvl w:val="0"/>
        <w:rPr>
          <w:rFonts w:hint="eastAsia" w:ascii="宋体" w:hAnsi="宋体" w:cs="宋体"/>
          <w:snapToGrid w:val="0"/>
          <w:kern w:val="0"/>
          <w:sz w:val="32"/>
          <w:highlight w:val="none"/>
        </w:rPr>
      </w:pPr>
      <w:bookmarkStart w:id="235" w:name="_Toc15121"/>
      <w:bookmarkStart w:id="236" w:name="_Toc17504"/>
      <w:bookmarkStart w:id="237" w:name="_Toc93404028"/>
    </w:p>
    <w:p w14:paraId="787175F2">
      <w:pPr>
        <w:pStyle w:val="33"/>
        <w:rPr>
          <w:rFonts w:hint="eastAsia" w:ascii="宋体" w:hAnsi="宋体" w:cs="宋体"/>
          <w:snapToGrid w:val="0"/>
          <w:kern w:val="0"/>
          <w:sz w:val="32"/>
          <w:highlight w:val="none"/>
        </w:rPr>
      </w:pPr>
    </w:p>
    <w:p w14:paraId="382B2505">
      <w:pPr>
        <w:pStyle w:val="33"/>
        <w:rPr>
          <w:rFonts w:hint="eastAsia" w:ascii="宋体" w:hAnsi="宋体" w:cs="宋体"/>
          <w:snapToGrid w:val="0"/>
          <w:kern w:val="0"/>
          <w:sz w:val="32"/>
          <w:highlight w:val="none"/>
        </w:rPr>
      </w:pPr>
    </w:p>
    <w:p w14:paraId="59F9BB2A">
      <w:pPr>
        <w:pStyle w:val="33"/>
        <w:rPr>
          <w:rFonts w:hint="eastAsia" w:ascii="宋体" w:hAnsi="宋体" w:cs="宋体"/>
          <w:snapToGrid w:val="0"/>
          <w:kern w:val="0"/>
          <w:sz w:val="32"/>
          <w:highlight w:val="none"/>
        </w:rPr>
      </w:pPr>
    </w:p>
    <w:p w14:paraId="2D8FD787">
      <w:pPr>
        <w:pStyle w:val="3"/>
        <w:jc w:val="center"/>
        <w:rPr>
          <w:sz w:val="36"/>
          <w:szCs w:val="36"/>
          <w:highlight w:val="none"/>
        </w:rPr>
      </w:pPr>
      <w:r>
        <w:rPr>
          <w:rFonts w:hint="eastAsia"/>
          <w:sz w:val="36"/>
          <w:szCs w:val="36"/>
          <w:highlight w:val="none"/>
        </w:rPr>
        <w:t>全过程工程咨询服务合同</w:t>
      </w:r>
    </w:p>
    <w:p w14:paraId="024C2BD7">
      <w:pPr>
        <w:spacing w:line="400" w:lineRule="exact"/>
        <w:ind w:left="3446" w:leftChars="284" w:hanging="2850" w:hangingChars="950"/>
        <w:jc w:val="center"/>
        <w:rPr>
          <w:rFonts w:ascii="宋体"/>
          <w:sz w:val="30"/>
          <w:szCs w:val="30"/>
          <w:highlight w:val="none"/>
          <w:u w:val="single"/>
        </w:rPr>
      </w:pPr>
    </w:p>
    <w:p w14:paraId="152087B3">
      <w:pPr>
        <w:pStyle w:val="33"/>
        <w:rPr>
          <w:highlight w:val="none"/>
        </w:rPr>
      </w:pPr>
    </w:p>
    <w:p w14:paraId="3F3A89C2">
      <w:pPr>
        <w:autoSpaceDE w:val="0"/>
        <w:autoSpaceDN w:val="0"/>
        <w:jc w:val="center"/>
        <w:rPr>
          <w:b/>
          <w:kern w:val="44"/>
          <w:sz w:val="32"/>
          <w:szCs w:val="32"/>
          <w:highlight w:val="none"/>
        </w:rPr>
      </w:pPr>
      <w:r>
        <w:rPr>
          <w:rFonts w:hint="eastAsia"/>
          <w:b/>
          <w:kern w:val="44"/>
          <w:sz w:val="32"/>
          <w:szCs w:val="32"/>
          <w:highlight w:val="none"/>
        </w:rPr>
        <w:t>示范文本（试行）</w:t>
      </w:r>
    </w:p>
    <w:p w14:paraId="43C3A93A">
      <w:pPr>
        <w:spacing w:line="400" w:lineRule="exact"/>
        <w:ind w:left="3446" w:leftChars="284" w:hanging="2850" w:hangingChars="950"/>
        <w:jc w:val="left"/>
        <w:rPr>
          <w:rFonts w:ascii="宋体"/>
          <w:sz w:val="30"/>
          <w:szCs w:val="30"/>
          <w:highlight w:val="none"/>
        </w:rPr>
      </w:pPr>
    </w:p>
    <w:p w14:paraId="443FE711">
      <w:pPr>
        <w:adjustRightInd w:val="0"/>
        <w:snapToGrid w:val="0"/>
        <w:spacing w:line="480" w:lineRule="auto"/>
        <w:ind w:firstLine="600" w:firstLineChars="200"/>
        <w:jc w:val="left"/>
        <w:rPr>
          <w:rFonts w:ascii="宋体"/>
          <w:sz w:val="30"/>
          <w:szCs w:val="30"/>
          <w:highlight w:val="none"/>
          <w:u w:val="single"/>
        </w:rPr>
      </w:pPr>
    </w:p>
    <w:p w14:paraId="62905E93">
      <w:pPr>
        <w:adjustRightInd w:val="0"/>
        <w:snapToGrid w:val="0"/>
        <w:spacing w:line="480" w:lineRule="auto"/>
        <w:ind w:firstLine="600" w:firstLineChars="200"/>
        <w:jc w:val="left"/>
        <w:rPr>
          <w:rFonts w:ascii="宋体"/>
          <w:sz w:val="30"/>
          <w:szCs w:val="30"/>
          <w:highlight w:val="none"/>
          <w:u w:val="single"/>
        </w:rPr>
      </w:pPr>
    </w:p>
    <w:p w14:paraId="578920B7">
      <w:pPr>
        <w:adjustRightInd w:val="0"/>
        <w:snapToGrid w:val="0"/>
        <w:spacing w:line="480" w:lineRule="auto"/>
        <w:ind w:firstLine="600" w:firstLineChars="200"/>
        <w:jc w:val="left"/>
        <w:rPr>
          <w:rFonts w:ascii="宋体"/>
          <w:sz w:val="30"/>
          <w:szCs w:val="30"/>
          <w:highlight w:val="none"/>
          <w:u w:val="single"/>
        </w:rPr>
      </w:pPr>
    </w:p>
    <w:p w14:paraId="42B8FB3A">
      <w:pPr>
        <w:adjustRightInd w:val="0"/>
        <w:snapToGrid w:val="0"/>
        <w:spacing w:line="480" w:lineRule="auto"/>
        <w:ind w:firstLine="600" w:firstLineChars="200"/>
        <w:jc w:val="left"/>
        <w:rPr>
          <w:rFonts w:ascii="宋体"/>
          <w:sz w:val="30"/>
          <w:szCs w:val="30"/>
          <w:highlight w:val="none"/>
          <w:u w:val="single"/>
        </w:rPr>
      </w:pPr>
    </w:p>
    <w:p w14:paraId="4D8AA561">
      <w:pPr>
        <w:adjustRightInd w:val="0"/>
        <w:snapToGrid w:val="0"/>
        <w:spacing w:line="480" w:lineRule="auto"/>
        <w:ind w:firstLine="600" w:firstLineChars="200"/>
        <w:jc w:val="left"/>
        <w:rPr>
          <w:rFonts w:ascii="宋体"/>
          <w:sz w:val="30"/>
          <w:szCs w:val="30"/>
          <w:highlight w:val="none"/>
          <w:u w:val="single"/>
        </w:rPr>
      </w:pPr>
    </w:p>
    <w:p w14:paraId="5AF754C0">
      <w:pPr>
        <w:adjustRightInd w:val="0"/>
        <w:snapToGrid w:val="0"/>
        <w:spacing w:line="480" w:lineRule="auto"/>
        <w:ind w:firstLine="600" w:firstLineChars="200"/>
        <w:jc w:val="left"/>
        <w:rPr>
          <w:rFonts w:ascii="宋体"/>
          <w:sz w:val="30"/>
          <w:szCs w:val="30"/>
          <w:highlight w:val="none"/>
          <w:u w:val="single"/>
        </w:rPr>
      </w:pPr>
    </w:p>
    <w:p w14:paraId="5D7B33C6">
      <w:pPr>
        <w:adjustRightInd w:val="0"/>
        <w:snapToGrid w:val="0"/>
        <w:spacing w:line="480" w:lineRule="auto"/>
        <w:ind w:firstLine="600" w:firstLineChars="200"/>
        <w:jc w:val="left"/>
        <w:rPr>
          <w:rFonts w:ascii="宋体"/>
          <w:sz w:val="30"/>
          <w:szCs w:val="30"/>
          <w:highlight w:val="none"/>
          <w:u w:val="single"/>
        </w:rPr>
      </w:pPr>
    </w:p>
    <w:p w14:paraId="5A7E0D97">
      <w:pPr>
        <w:pStyle w:val="2"/>
        <w:jc w:val="left"/>
        <w:rPr>
          <w:rFonts w:ascii="宋体"/>
          <w:sz w:val="30"/>
          <w:szCs w:val="30"/>
          <w:highlight w:val="none"/>
          <w:u w:val="single"/>
        </w:rPr>
      </w:pPr>
    </w:p>
    <w:p w14:paraId="30DC51D1">
      <w:pPr>
        <w:jc w:val="left"/>
        <w:rPr>
          <w:rFonts w:ascii="宋体"/>
          <w:sz w:val="30"/>
          <w:szCs w:val="30"/>
          <w:highlight w:val="none"/>
          <w:u w:val="single"/>
        </w:rPr>
      </w:pPr>
    </w:p>
    <w:p w14:paraId="0F3B915A">
      <w:pPr>
        <w:pStyle w:val="2"/>
        <w:jc w:val="left"/>
        <w:rPr>
          <w:highlight w:val="none"/>
        </w:rPr>
      </w:pPr>
    </w:p>
    <w:p w14:paraId="7B43D5AD">
      <w:pPr>
        <w:adjustRightInd w:val="0"/>
        <w:snapToGrid w:val="0"/>
        <w:spacing w:line="480" w:lineRule="auto"/>
        <w:ind w:firstLine="600" w:firstLineChars="200"/>
        <w:jc w:val="left"/>
        <w:rPr>
          <w:rFonts w:ascii="宋体"/>
          <w:sz w:val="30"/>
          <w:szCs w:val="30"/>
          <w:highlight w:val="none"/>
          <w:u w:val="single"/>
        </w:rPr>
      </w:pPr>
    </w:p>
    <w:p w14:paraId="2E79AB67">
      <w:pPr>
        <w:adjustRightInd w:val="0"/>
        <w:snapToGrid w:val="0"/>
        <w:spacing w:line="480" w:lineRule="auto"/>
        <w:ind w:firstLine="400" w:firstLineChars="200"/>
        <w:jc w:val="left"/>
        <w:rPr>
          <w:rFonts w:ascii="宋体"/>
          <w:sz w:val="20"/>
          <w:szCs w:val="21"/>
          <w:highlight w:val="none"/>
        </w:rPr>
        <w:sectPr>
          <w:footerReference r:id="rId10" w:type="first"/>
          <w:headerReference r:id="rId6" w:type="default"/>
          <w:footerReference r:id="rId8" w:type="default"/>
          <w:headerReference r:id="rId7" w:type="even"/>
          <w:footerReference r:id="rId9" w:type="even"/>
          <w:pgSz w:w="11906" w:h="16838"/>
          <w:pgMar w:top="1440" w:right="1417" w:bottom="1440" w:left="1417" w:header="851" w:footer="992" w:gutter="0"/>
          <w:pgNumType w:fmt="numberInDash" w:start="1"/>
          <w:cols w:space="720" w:num="1"/>
          <w:docGrid w:type="linesAndChars" w:linePitch="286" w:charSpace="0"/>
        </w:sectPr>
      </w:pPr>
    </w:p>
    <w:p w14:paraId="7E70EE63">
      <w:pPr>
        <w:spacing w:line="360" w:lineRule="auto"/>
        <w:jc w:val="center"/>
        <w:outlineLvl w:val="1"/>
        <w:rPr>
          <w:rFonts w:ascii="宋体" w:cs="黑体"/>
          <w:b/>
          <w:sz w:val="32"/>
          <w:highlight w:val="none"/>
        </w:rPr>
      </w:pPr>
      <w:bookmarkStart w:id="238" w:name="_Toc527955002"/>
      <w:r>
        <w:rPr>
          <w:rFonts w:hint="eastAsia" w:ascii="宋体" w:hAnsi="宋体" w:cs="黑体"/>
          <w:b/>
          <w:sz w:val="32"/>
          <w:highlight w:val="none"/>
        </w:rPr>
        <w:t>第一部分</w:t>
      </w:r>
      <w:r>
        <w:rPr>
          <w:rFonts w:ascii="宋体" w:hAnsi="宋体" w:cs="黑体"/>
          <w:b/>
          <w:sz w:val="32"/>
          <w:highlight w:val="none"/>
        </w:rPr>
        <w:t xml:space="preserve"> </w:t>
      </w:r>
      <w:r>
        <w:rPr>
          <w:rFonts w:hint="eastAsia" w:ascii="宋体" w:hAnsi="宋体" w:cs="黑体"/>
          <w:b/>
          <w:sz w:val="32"/>
          <w:highlight w:val="none"/>
        </w:rPr>
        <w:t>协议书</w:t>
      </w:r>
      <w:bookmarkEnd w:id="238"/>
    </w:p>
    <w:p w14:paraId="4D765109">
      <w:pPr>
        <w:spacing w:line="400" w:lineRule="exact"/>
        <w:ind w:firstLine="420" w:firstLineChars="200"/>
        <w:jc w:val="left"/>
        <w:rPr>
          <w:rFonts w:ascii="宋体"/>
          <w:szCs w:val="21"/>
          <w:highlight w:val="none"/>
        </w:rPr>
      </w:pPr>
    </w:p>
    <w:p w14:paraId="4F0FB6E3">
      <w:pPr>
        <w:spacing w:line="400" w:lineRule="exact"/>
        <w:ind w:firstLine="420" w:firstLineChars="200"/>
        <w:jc w:val="left"/>
        <w:rPr>
          <w:rFonts w:ascii="宋体"/>
          <w:szCs w:val="21"/>
          <w:highlight w:val="none"/>
        </w:rPr>
      </w:pPr>
      <w:r>
        <w:rPr>
          <w:rFonts w:hint="eastAsia" w:ascii="宋体" w:hAnsi="宋体"/>
          <w:szCs w:val="21"/>
          <w:highlight w:val="none"/>
        </w:rPr>
        <w:t>委</w:t>
      </w:r>
      <w:r>
        <w:rPr>
          <w:rFonts w:ascii="宋体" w:hAnsi="宋体"/>
          <w:szCs w:val="21"/>
          <w:highlight w:val="none"/>
        </w:rPr>
        <w:t xml:space="preserve">  </w:t>
      </w:r>
      <w:r>
        <w:rPr>
          <w:rFonts w:hint="eastAsia" w:ascii="宋体" w:hAnsi="宋体"/>
          <w:szCs w:val="21"/>
          <w:highlight w:val="none"/>
        </w:rPr>
        <w:t>托</w:t>
      </w:r>
      <w:r>
        <w:rPr>
          <w:rFonts w:ascii="宋体" w:hAnsi="宋体"/>
          <w:szCs w:val="21"/>
          <w:highlight w:val="none"/>
        </w:rPr>
        <w:t xml:space="preserve">  </w:t>
      </w:r>
      <w:r>
        <w:rPr>
          <w:rFonts w:hint="eastAsia" w:ascii="宋体" w:hAnsi="宋体"/>
          <w:szCs w:val="21"/>
          <w:highlight w:val="none"/>
        </w:rPr>
        <w:t>人（全称）：</w:t>
      </w:r>
      <w:r>
        <w:rPr>
          <w:rFonts w:hint="eastAsia"/>
          <w:highlight w:val="none"/>
          <w:u w:val="single"/>
        </w:rPr>
        <w:t>宜兴市环保集团有限公司</w:t>
      </w:r>
    </w:p>
    <w:p w14:paraId="28E7FC88">
      <w:pPr>
        <w:spacing w:line="400" w:lineRule="exact"/>
        <w:ind w:firstLine="420" w:firstLineChars="200"/>
        <w:jc w:val="left"/>
        <w:rPr>
          <w:rFonts w:ascii="宋体"/>
          <w:szCs w:val="21"/>
          <w:highlight w:val="none"/>
        </w:rPr>
      </w:pPr>
      <w:r>
        <w:rPr>
          <w:rFonts w:hint="eastAsia" w:ascii="宋体" w:hAnsi="宋体"/>
          <w:szCs w:val="21"/>
          <w:highlight w:val="none"/>
        </w:rPr>
        <w:t>受</w:t>
      </w:r>
      <w:r>
        <w:rPr>
          <w:rFonts w:ascii="宋体" w:hAnsi="宋体"/>
          <w:szCs w:val="21"/>
          <w:highlight w:val="none"/>
        </w:rPr>
        <w:t xml:space="preserve">  </w:t>
      </w:r>
      <w:r>
        <w:rPr>
          <w:rFonts w:hint="eastAsia" w:ascii="宋体" w:hAnsi="宋体"/>
          <w:szCs w:val="21"/>
          <w:highlight w:val="none"/>
        </w:rPr>
        <w:t>托</w:t>
      </w:r>
      <w:r>
        <w:rPr>
          <w:rFonts w:ascii="宋体" w:hAnsi="宋体"/>
          <w:szCs w:val="21"/>
          <w:highlight w:val="none"/>
        </w:rPr>
        <w:t xml:space="preserve">  </w:t>
      </w:r>
      <w:r>
        <w:rPr>
          <w:rFonts w:hint="eastAsia" w:ascii="宋体" w:hAnsi="宋体"/>
          <w:szCs w:val="21"/>
          <w:highlight w:val="none"/>
        </w:rPr>
        <w:t>人（全称）：</w:t>
      </w:r>
    </w:p>
    <w:p w14:paraId="66CFAD9E">
      <w:pPr>
        <w:spacing w:line="400" w:lineRule="exact"/>
        <w:ind w:firstLine="420" w:firstLineChars="200"/>
        <w:jc w:val="left"/>
        <w:rPr>
          <w:rFonts w:ascii="宋体"/>
          <w:szCs w:val="21"/>
          <w:highlight w:val="none"/>
        </w:rPr>
      </w:pPr>
      <w:r>
        <w:rPr>
          <w:rFonts w:hint="eastAsia" w:ascii="宋体" w:hAnsi="宋体"/>
          <w:szCs w:val="21"/>
          <w:highlight w:val="none"/>
        </w:rPr>
        <w:t>根据《中华人民共和国合同法》、《中华人民共和国建筑法》及其他有关法律、行政法规，遵循平等、自愿、公平和诚信的原则，双方就下述工程委托全过程工程咨询服务事项协商一致，订立本合同。</w:t>
      </w:r>
    </w:p>
    <w:p w14:paraId="484479CA">
      <w:pPr>
        <w:spacing w:line="400" w:lineRule="exact"/>
        <w:ind w:firstLine="422" w:firstLineChars="200"/>
        <w:jc w:val="left"/>
        <w:rPr>
          <w:rFonts w:ascii="宋体"/>
          <w:b/>
          <w:szCs w:val="21"/>
          <w:highlight w:val="none"/>
        </w:rPr>
      </w:pPr>
      <w:r>
        <w:rPr>
          <w:rFonts w:hint="eastAsia" w:ascii="宋体" w:hAnsi="宋体"/>
          <w:b/>
          <w:szCs w:val="21"/>
          <w:highlight w:val="none"/>
        </w:rPr>
        <w:t>一、工程概况：</w:t>
      </w:r>
    </w:p>
    <w:p w14:paraId="060109BC">
      <w:pPr>
        <w:spacing w:line="580" w:lineRule="exact"/>
        <w:ind w:firstLine="420" w:firstLineChars="200"/>
        <w:jc w:val="left"/>
        <w:rPr>
          <w:rFonts w:hint="eastAsia" w:ascii="宋体" w:hAnsi="宋体" w:eastAsia="宋体" w:cs="宋体"/>
          <w:sz w:val="28"/>
          <w:szCs w:val="28"/>
          <w:highlight w:val="none"/>
          <w:u w:val="single"/>
          <w:lang w:eastAsia="zh-CN"/>
        </w:rPr>
      </w:pPr>
      <w:r>
        <w:rPr>
          <w:rFonts w:ascii="宋体" w:hAnsi="宋体"/>
          <w:szCs w:val="21"/>
          <w:highlight w:val="none"/>
        </w:rPr>
        <w:t>1.</w:t>
      </w:r>
      <w:r>
        <w:rPr>
          <w:rFonts w:hint="eastAsia" w:ascii="宋体" w:hAnsi="宋体"/>
          <w:szCs w:val="21"/>
          <w:highlight w:val="none"/>
        </w:rPr>
        <w:t>工程名称：</w:t>
      </w:r>
      <w:r>
        <w:rPr>
          <w:rFonts w:hint="eastAsia" w:ascii="宋体" w:hAnsi="宋体"/>
          <w:szCs w:val="21"/>
          <w:highlight w:val="none"/>
          <w:u w:val="single"/>
          <w:lang w:eastAsia="zh-CN"/>
        </w:rPr>
        <w:t>宜兴市东氿水下森林项目工程全过程工程咨询服务</w:t>
      </w:r>
    </w:p>
    <w:p w14:paraId="70DF327B">
      <w:pPr>
        <w:spacing w:line="400" w:lineRule="exact"/>
        <w:ind w:firstLine="420" w:firstLineChars="200"/>
        <w:jc w:val="left"/>
        <w:rPr>
          <w:rFonts w:hint="eastAsia" w:ascii="宋体" w:eastAsia="宋体"/>
          <w:szCs w:val="21"/>
          <w:highlight w:val="none"/>
          <w:lang w:eastAsia="zh-CN"/>
        </w:rPr>
      </w:pPr>
      <w:r>
        <w:rPr>
          <w:rFonts w:ascii="宋体" w:hAnsi="宋体"/>
          <w:szCs w:val="21"/>
          <w:highlight w:val="none"/>
        </w:rPr>
        <w:t>2.</w:t>
      </w:r>
      <w:r>
        <w:rPr>
          <w:rFonts w:hint="eastAsia" w:ascii="宋体" w:hAnsi="宋体"/>
          <w:szCs w:val="21"/>
          <w:highlight w:val="none"/>
        </w:rPr>
        <w:t>工程地点：</w:t>
      </w:r>
      <w:r>
        <w:rPr>
          <w:rFonts w:hint="eastAsia"/>
          <w:highlight w:val="none"/>
          <w:u w:val="single"/>
        </w:rPr>
        <w:t>无锡市-宜兴市-</w:t>
      </w:r>
      <w:r>
        <w:rPr>
          <w:rFonts w:hint="eastAsia"/>
          <w:highlight w:val="none"/>
          <w:u w:val="single"/>
          <w:lang w:val="en-US" w:eastAsia="zh-CN"/>
        </w:rPr>
        <w:t>东氿</w:t>
      </w:r>
    </w:p>
    <w:p w14:paraId="3DA099EF">
      <w:pPr>
        <w:spacing w:line="400" w:lineRule="exact"/>
        <w:ind w:firstLine="420" w:firstLineChars="200"/>
        <w:jc w:val="left"/>
        <w:rPr>
          <w:highlight w:val="none"/>
          <w:u w:val="single"/>
        </w:rPr>
      </w:pPr>
      <w:r>
        <w:rPr>
          <w:rFonts w:ascii="宋体" w:hAnsi="宋体"/>
          <w:szCs w:val="21"/>
          <w:highlight w:val="none"/>
        </w:rPr>
        <w:t>3.</w:t>
      </w:r>
      <w:r>
        <w:rPr>
          <w:rFonts w:hint="eastAsia" w:ascii="宋体" w:hAnsi="宋体"/>
          <w:szCs w:val="21"/>
          <w:highlight w:val="none"/>
        </w:rPr>
        <w:t>工程规模：</w:t>
      </w:r>
      <w:r>
        <w:rPr>
          <w:rFonts w:hint="eastAsia"/>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r>
        <w:rPr>
          <w:rFonts w:hint="eastAsia"/>
          <w:highlight w:val="none"/>
          <w:u w:val="single"/>
        </w:rPr>
        <w:t>。</w:t>
      </w:r>
    </w:p>
    <w:p w14:paraId="553E4C66">
      <w:pPr>
        <w:spacing w:line="400" w:lineRule="exact"/>
        <w:ind w:firstLine="420" w:firstLineChars="200"/>
        <w:jc w:val="left"/>
        <w:rPr>
          <w:rFonts w:ascii="宋体"/>
          <w:szCs w:val="21"/>
          <w:highlight w:val="none"/>
          <w:u w:val="single"/>
        </w:rPr>
      </w:pPr>
      <w:r>
        <w:rPr>
          <w:rFonts w:ascii="宋体" w:hAnsi="宋体"/>
          <w:szCs w:val="21"/>
          <w:highlight w:val="none"/>
        </w:rPr>
        <w:t>4.</w:t>
      </w:r>
      <w:r>
        <w:rPr>
          <w:rFonts w:hint="eastAsia" w:ascii="宋体" w:hAnsi="宋体"/>
          <w:szCs w:val="21"/>
          <w:highlight w:val="none"/>
        </w:rPr>
        <w:t>投资估算额：</w:t>
      </w:r>
      <w:r>
        <w:rPr>
          <w:rFonts w:hint="eastAsia" w:ascii="宋体" w:hAnsi="宋体"/>
          <w:szCs w:val="21"/>
          <w:highlight w:val="none"/>
          <w:u w:val="single"/>
        </w:rPr>
        <w:t>约</w:t>
      </w:r>
      <w:r>
        <w:rPr>
          <w:rFonts w:hint="eastAsia" w:ascii="宋体" w:hAnsi="宋体"/>
          <w:szCs w:val="21"/>
          <w:highlight w:val="none"/>
          <w:u w:val="single"/>
          <w:lang w:val="en-US" w:eastAsia="zh-CN"/>
        </w:rPr>
        <w:t>3481.5</w:t>
      </w:r>
      <w:r>
        <w:rPr>
          <w:rFonts w:hint="eastAsia" w:ascii="宋体" w:hAnsi="宋体"/>
          <w:szCs w:val="21"/>
          <w:highlight w:val="none"/>
          <w:u w:val="single"/>
        </w:rPr>
        <w:t>万元（其中：建安费用</w:t>
      </w:r>
      <w:r>
        <w:rPr>
          <w:rFonts w:hint="eastAsia" w:ascii="宋体" w:hAnsi="宋体"/>
          <w:szCs w:val="21"/>
          <w:highlight w:val="none"/>
          <w:u w:val="single"/>
          <w:lang w:val="en-US" w:eastAsia="zh-CN"/>
        </w:rPr>
        <w:t>3020.88</w:t>
      </w:r>
      <w:r>
        <w:rPr>
          <w:rFonts w:hint="eastAsia" w:ascii="宋体" w:hAnsi="宋体"/>
          <w:szCs w:val="21"/>
          <w:highlight w:val="none"/>
          <w:u w:val="single"/>
        </w:rPr>
        <w:t>万元</w:t>
      </w:r>
      <w:r>
        <w:rPr>
          <w:rFonts w:hint="eastAsia" w:ascii="宋体" w:hAnsi="宋体" w:cs="宋体"/>
          <w:sz w:val="28"/>
          <w:szCs w:val="28"/>
          <w:highlight w:val="none"/>
          <w:u w:val="single"/>
        </w:rPr>
        <w:t>）</w:t>
      </w:r>
    </w:p>
    <w:p w14:paraId="5205D872">
      <w:pPr>
        <w:spacing w:line="400" w:lineRule="exact"/>
        <w:ind w:firstLine="422" w:firstLineChars="200"/>
        <w:jc w:val="left"/>
        <w:rPr>
          <w:rFonts w:ascii="宋体"/>
          <w:b/>
          <w:szCs w:val="21"/>
          <w:highlight w:val="none"/>
        </w:rPr>
      </w:pPr>
      <w:r>
        <w:rPr>
          <w:rFonts w:hint="eastAsia" w:ascii="宋体" w:hAnsi="宋体"/>
          <w:b/>
          <w:szCs w:val="21"/>
          <w:highlight w:val="none"/>
        </w:rPr>
        <w:t>二、词语限定</w:t>
      </w:r>
    </w:p>
    <w:p w14:paraId="454D5CC3">
      <w:pPr>
        <w:spacing w:line="400" w:lineRule="exact"/>
        <w:ind w:firstLine="420" w:firstLineChars="200"/>
        <w:jc w:val="left"/>
        <w:rPr>
          <w:rFonts w:ascii="宋体"/>
          <w:szCs w:val="21"/>
          <w:highlight w:val="none"/>
        </w:rPr>
      </w:pPr>
      <w:r>
        <w:rPr>
          <w:rFonts w:hint="eastAsia" w:ascii="宋体" w:hAnsi="宋体"/>
          <w:szCs w:val="21"/>
          <w:highlight w:val="none"/>
        </w:rPr>
        <w:t>协议书中相关词语的含义与通用条件中的定义与解释相同。</w:t>
      </w:r>
    </w:p>
    <w:p w14:paraId="43EC8C64">
      <w:pPr>
        <w:spacing w:line="400" w:lineRule="exact"/>
        <w:ind w:firstLine="422" w:firstLineChars="200"/>
        <w:jc w:val="left"/>
        <w:rPr>
          <w:rFonts w:ascii="宋体"/>
          <w:b/>
          <w:szCs w:val="21"/>
          <w:highlight w:val="none"/>
        </w:rPr>
      </w:pPr>
      <w:r>
        <w:rPr>
          <w:rFonts w:hint="eastAsia" w:ascii="宋体" w:hAnsi="宋体"/>
          <w:b/>
          <w:szCs w:val="21"/>
          <w:highlight w:val="none"/>
        </w:rPr>
        <w:t>三、全过程工程咨询服务目标</w:t>
      </w:r>
    </w:p>
    <w:p w14:paraId="64D2B337">
      <w:pPr>
        <w:spacing w:line="400" w:lineRule="exact"/>
        <w:ind w:firstLine="420" w:firstLineChars="200"/>
        <w:jc w:val="left"/>
        <w:rPr>
          <w:szCs w:val="22"/>
          <w:highlight w:val="none"/>
          <w:u w:val="single"/>
        </w:rPr>
      </w:pPr>
      <w:r>
        <w:rPr>
          <w:rFonts w:hint="eastAsia"/>
          <w:szCs w:val="22"/>
          <w:highlight w:val="none"/>
          <w:u w:val="single"/>
        </w:rPr>
        <w:t>1、质量目标</w:t>
      </w:r>
    </w:p>
    <w:p w14:paraId="02322B7D">
      <w:pPr>
        <w:spacing w:line="400" w:lineRule="exact"/>
        <w:ind w:firstLine="420" w:firstLineChars="200"/>
        <w:jc w:val="left"/>
        <w:rPr>
          <w:szCs w:val="22"/>
          <w:highlight w:val="none"/>
          <w:u w:val="single"/>
        </w:rPr>
      </w:pPr>
      <w:r>
        <w:rPr>
          <w:rFonts w:hint="eastAsia"/>
          <w:szCs w:val="22"/>
          <w:highlight w:val="none"/>
          <w:u w:val="single"/>
        </w:rPr>
        <w:t>本项目的每个单位工程质量均满足国家规范标准，并一次性通过综合验收，顺利交付。</w:t>
      </w:r>
    </w:p>
    <w:p w14:paraId="59BAFA1B">
      <w:pPr>
        <w:spacing w:line="400" w:lineRule="exact"/>
        <w:ind w:firstLine="420" w:firstLineChars="200"/>
        <w:jc w:val="left"/>
        <w:rPr>
          <w:szCs w:val="22"/>
          <w:highlight w:val="none"/>
          <w:u w:val="single"/>
        </w:rPr>
      </w:pPr>
      <w:r>
        <w:rPr>
          <w:rFonts w:hint="eastAsia"/>
          <w:szCs w:val="22"/>
          <w:highlight w:val="none"/>
          <w:u w:val="single"/>
        </w:rPr>
        <w:t>2、进度目标</w:t>
      </w:r>
    </w:p>
    <w:p w14:paraId="7519B147">
      <w:pPr>
        <w:spacing w:line="400" w:lineRule="exact"/>
        <w:ind w:firstLine="420" w:firstLineChars="200"/>
        <w:jc w:val="left"/>
        <w:rPr>
          <w:szCs w:val="22"/>
          <w:highlight w:val="none"/>
          <w:u w:val="single"/>
        </w:rPr>
      </w:pPr>
      <w:r>
        <w:rPr>
          <w:rFonts w:hint="eastAsia"/>
          <w:szCs w:val="22"/>
          <w:highlight w:val="none"/>
          <w:u w:val="single"/>
        </w:rPr>
        <w:t>签订项目咨询（管理）合同后，在委托方取得工程项目的立项任务书后，完成合同规定的项目报批手续等工作，协助委托方完成各单位工程的招标事宜，委托方将具备进场条件的工地正式移交项目管理单位后，按委托方对各个项目的不同工期要求，按时完成项目建设任务。</w:t>
      </w:r>
    </w:p>
    <w:p w14:paraId="75B2EEF8">
      <w:pPr>
        <w:spacing w:line="400" w:lineRule="exact"/>
        <w:ind w:firstLine="420" w:firstLineChars="200"/>
        <w:jc w:val="left"/>
        <w:rPr>
          <w:szCs w:val="22"/>
          <w:highlight w:val="none"/>
          <w:u w:val="single"/>
        </w:rPr>
      </w:pPr>
      <w:r>
        <w:rPr>
          <w:rFonts w:hint="eastAsia"/>
          <w:szCs w:val="22"/>
          <w:highlight w:val="none"/>
          <w:u w:val="single"/>
        </w:rPr>
        <w:t>3、投资控制目标</w:t>
      </w:r>
    </w:p>
    <w:p w14:paraId="6C869BCC">
      <w:pPr>
        <w:spacing w:line="400" w:lineRule="exact"/>
        <w:ind w:firstLine="420" w:firstLineChars="200"/>
        <w:jc w:val="left"/>
        <w:rPr>
          <w:szCs w:val="22"/>
          <w:highlight w:val="none"/>
          <w:u w:val="single"/>
        </w:rPr>
      </w:pPr>
      <w:r>
        <w:rPr>
          <w:rFonts w:hint="eastAsia"/>
          <w:szCs w:val="22"/>
          <w:highlight w:val="none"/>
          <w:u w:val="single"/>
        </w:rPr>
        <w:t>以批准的设计概算为基础，协助委托方完成决策阶段的全过程投资控制。确保工程各阶段、各单项工程费用支出与形象进度相符合。</w:t>
      </w:r>
    </w:p>
    <w:p w14:paraId="0313DD1F">
      <w:pPr>
        <w:spacing w:line="400" w:lineRule="exact"/>
        <w:ind w:firstLine="420" w:firstLineChars="200"/>
        <w:jc w:val="left"/>
        <w:rPr>
          <w:szCs w:val="22"/>
          <w:highlight w:val="none"/>
          <w:u w:val="single"/>
        </w:rPr>
      </w:pPr>
      <w:r>
        <w:rPr>
          <w:rFonts w:hint="eastAsia"/>
          <w:szCs w:val="22"/>
          <w:highlight w:val="none"/>
          <w:u w:val="single"/>
        </w:rPr>
        <w:t>4、安全目标</w:t>
      </w:r>
    </w:p>
    <w:p w14:paraId="2C16930E">
      <w:pPr>
        <w:spacing w:line="400" w:lineRule="exact"/>
        <w:ind w:firstLine="420" w:firstLineChars="200"/>
        <w:jc w:val="left"/>
        <w:rPr>
          <w:szCs w:val="22"/>
          <w:highlight w:val="none"/>
          <w:u w:val="single"/>
        </w:rPr>
      </w:pPr>
      <w:r>
        <w:rPr>
          <w:rFonts w:hint="eastAsia"/>
          <w:szCs w:val="22"/>
          <w:highlight w:val="none"/>
          <w:u w:val="single"/>
        </w:rPr>
        <w:t>无重大安全责任事故。</w:t>
      </w:r>
    </w:p>
    <w:p w14:paraId="79143AAE">
      <w:pPr>
        <w:spacing w:line="400" w:lineRule="exact"/>
        <w:ind w:firstLine="420" w:firstLineChars="200"/>
        <w:jc w:val="left"/>
        <w:rPr>
          <w:szCs w:val="22"/>
          <w:highlight w:val="none"/>
          <w:u w:val="single"/>
        </w:rPr>
      </w:pPr>
      <w:r>
        <w:rPr>
          <w:rFonts w:hint="eastAsia"/>
          <w:szCs w:val="22"/>
          <w:highlight w:val="none"/>
          <w:u w:val="single"/>
        </w:rPr>
        <w:t>5、文明施工目标</w:t>
      </w:r>
    </w:p>
    <w:p w14:paraId="181C17B4">
      <w:pPr>
        <w:spacing w:line="400" w:lineRule="exact"/>
        <w:ind w:firstLine="420" w:firstLineChars="200"/>
        <w:jc w:val="left"/>
        <w:rPr>
          <w:rFonts w:ascii="宋体"/>
          <w:szCs w:val="21"/>
          <w:highlight w:val="none"/>
          <w:u w:val="single"/>
        </w:rPr>
      </w:pPr>
      <w:r>
        <w:rPr>
          <w:rFonts w:hint="eastAsia"/>
          <w:szCs w:val="22"/>
          <w:highlight w:val="none"/>
          <w:u w:val="single"/>
        </w:rPr>
        <w:t>争创标化工地，满足行业主管部门有关规定要求。</w:t>
      </w:r>
    </w:p>
    <w:p w14:paraId="08C61CDA">
      <w:pPr>
        <w:spacing w:line="400" w:lineRule="exact"/>
        <w:ind w:firstLine="422" w:firstLineChars="200"/>
        <w:jc w:val="left"/>
        <w:rPr>
          <w:rFonts w:ascii="宋体"/>
          <w:b/>
          <w:szCs w:val="21"/>
          <w:highlight w:val="none"/>
        </w:rPr>
      </w:pPr>
      <w:r>
        <w:rPr>
          <w:rFonts w:hint="eastAsia" w:ascii="宋体" w:hAnsi="宋体"/>
          <w:b/>
          <w:szCs w:val="21"/>
          <w:highlight w:val="none"/>
        </w:rPr>
        <w:t>四、全过程工程咨询服务范围</w:t>
      </w:r>
    </w:p>
    <w:p w14:paraId="334D7D1C">
      <w:pPr>
        <w:spacing w:line="400" w:lineRule="exact"/>
        <w:ind w:firstLine="420" w:firstLineChars="200"/>
        <w:jc w:val="left"/>
        <w:rPr>
          <w:rFonts w:ascii="宋体"/>
          <w:szCs w:val="21"/>
          <w:highlight w:val="none"/>
        </w:rPr>
      </w:pPr>
      <w:r>
        <w:rPr>
          <w:rFonts w:hint="eastAsia" w:ascii="宋体" w:hAnsi="宋体"/>
          <w:szCs w:val="21"/>
          <w:highlight w:val="none"/>
        </w:rPr>
        <w:t>本项目全过程工程咨询服务范围包括：</w:t>
      </w:r>
    </w:p>
    <w:p w14:paraId="3EC57191">
      <w:pPr>
        <w:spacing w:line="400" w:lineRule="exact"/>
        <w:ind w:left="360" w:firstLine="420" w:firstLineChars="200"/>
        <w:jc w:val="left"/>
        <w:rPr>
          <w:rFonts w:ascii="宋体"/>
          <w:szCs w:val="21"/>
          <w:highlight w:val="none"/>
        </w:rPr>
      </w:pPr>
      <w:r>
        <w:rPr>
          <w:rFonts w:hint="eastAsia" w:ascii="宋体"/>
          <w:szCs w:val="21"/>
          <w:highlight w:val="none"/>
        </w:rPr>
        <w:t>□</w:t>
      </w:r>
      <w:r>
        <w:rPr>
          <w:rFonts w:hint="eastAsia" w:ascii="宋体" w:hAnsi="宋体"/>
          <w:szCs w:val="21"/>
          <w:highlight w:val="none"/>
        </w:rPr>
        <w:t>项目策划</w:t>
      </w:r>
    </w:p>
    <w:p w14:paraId="37A28BB6">
      <w:pPr>
        <w:spacing w:line="400" w:lineRule="exact"/>
        <w:ind w:left="360" w:firstLine="420" w:firstLineChars="200"/>
        <w:jc w:val="left"/>
        <w:rPr>
          <w:rFonts w:ascii="宋体"/>
          <w:szCs w:val="21"/>
          <w:highlight w:val="none"/>
        </w:rPr>
      </w:pPr>
      <w:r>
        <w:rPr>
          <w:rFonts w:hint="eastAsia" w:ascii="宋体"/>
          <w:szCs w:val="21"/>
          <w:highlight w:val="none"/>
        </w:rPr>
        <w:t>□</w:t>
      </w:r>
      <w:r>
        <w:rPr>
          <w:rFonts w:hint="eastAsia" w:ascii="宋体" w:hAnsi="宋体"/>
          <w:szCs w:val="21"/>
          <w:highlight w:val="none"/>
        </w:rPr>
        <w:t>工程设计</w:t>
      </w:r>
    </w:p>
    <w:p w14:paraId="71D69C42">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52"/>
      </w:r>
      <w:r>
        <w:rPr>
          <w:rFonts w:ascii="宋体" w:hAnsi="宋体"/>
          <w:szCs w:val="21"/>
          <w:highlight w:val="none"/>
          <w:shd w:val="clear" w:color="auto" w:fill="FFFFFF"/>
        </w:rPr>
        <w:t xml:space="preserve"> </w:t>
      </w:r>
      <w:r>
        <w:rPr>
          <w:rFonts w:hint="eastAsia" w:ascii="宋体" w:hAnsi="宋体"/>
          <w:szCs w:val="21"/>
          <w:highlight w:val="none"/>
          <w:shd w:val="clear" w:color="auto" w:fill="FFFFFF"/>
        </w:rPr>
        <w:t>工程监理</w:t>
      </w:r>
    </w:p>
    <w:p w14:paraId="51357355">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t>□</w:t>
      </w:r>
      <w:r>
        <w:rPr>
          <w:rFonts w:ascii="宋体" w:hAnsi="宋体"/>
          <w:szCs w:val="21"/>
          <w:highlight w:val="none"/>
          <w:shd w:val="clear" w:color="auto" w:fill="FFFFFF"/>
        </w:rPr>
        <w:t xml:space="preserve"> </w:t>
      </w:r>
      <w:r>
        <w:rPr>
          <w:rFonts w:hint="eastAsia" w:ascii="宋体" w:hAnsi="宋体"/>
          <w:szCs w:val="21"/>
          <w:highlight w:val="none"/>
          <w:shd w:val="clear" w:color="auto" w:fill="FFFFFF"/>
        </w:rPr>
        <w:t>招标代理</w:t>
      </w:r>
    </w:p>
    <w:p w14:paraId="0A965854">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52"/>
      </w:r>
      <w:r>
        <w:rPr>
          <w:rFonts w:hint="eastAsia" w:ascii="宋体" w:hAnsi="宋体"/>
          <w:szCs w:val="21"/>
          <w:highlight w:val="none"/>
          <w:shd w:val="clear" w:color="auto" w:fill="FFFFFF"/>
        </w:rPr>
        <w:t>造价咨询</w:t>
      </w:r>
    </w:p>
    <w:p w14:paraId="44C736D4">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t>☑</w:t>
      </w:r>
      <w:r>
        <w:rPr>
          <w:rFonts w:hint="eastAsia" w:ascii="宋体" w:hAnsi="宋体"/>
          <w:szCs w:val="21"/>
          <w:highlight w:val="none"/>
          <w:shd w:val="clear" w:color="auto" w:fill="FFFFFF"/>
        </w:rPr>
        <w:t>项目管理：</w:t>
      </w:r>
      <w:r>
        <w:rPr>
          <w:rFonts w:hint="eastAsia" w:ascii="宋体" w:hAnsi="宋体" w:cs="宋体"/>
          <w:highlight w:val="none"/>
          <w:u w:val="single"/>
          <w:shd w:val="clear" w:color="auto" w:fill="FFFFFF"/>
        </w:rPr>
        <w:t>（包括项目报批、勘察设计管理、合同管理、投资管理、进度管理、招标采购管理、现场管理、参建单位管理、验收管理、运营保修管理以及质量、计划、安全、信息、沟通、风险、人力资源等管理与协调）</w:t>
      </w:r>
      <w:r>
        <w:rPr>
          <w:rFonts w:hint="eastAsia" w:ascii="宋体" w:hAnsi="宋体"/>
          <w:szCs w:val="21"/>
          <w:highlight w:val="none"/>
          <w:shd w:val="clear" w:color="auto" w:fill="FFFFFF"/>
        </w:rPr>
        <w:t>；</w:t>
      </w:r>
    </w:p>
    <w:p w14:paraId="298F3237">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A3"/>
      </w:r>
      <w:r>
        <w:rPr>
          <w:rFonts w:hint="eastAsia" w:ascii="宋体" w:hAnsi="宋体"/>
          <w:szCs w:val="21"/>
          <w:highlight w:val="none"/>
          <w:shd w:val="clear" w:color="auto" w:fill="FFFFFF"/>
        </w:rPr>
        <w:t>其他：</w:t>
      </w:r>
    </w:p>
    <w:p w14:paraId="75864197">
      <w:pPr>
        <w:spacing w:line="400" w:lineRule="exact"/>
        <w:ind w:firstLine="420" w:firstLineChars="200"/>
        <w:jc w:val="left"/>
        <w:rPr>
          <w:rFonts w:ascii="宋体"/>
          <w:szCs w:val="21"/>
          <w:highlight w:val="none"/>
        </w:rPr>
      </w:pPr>
      <w:r>
        <w:rPr>
          <w:rFonts w:hint="eastAsia" w:ascii="宋体" w:hAnsi="宋体"/>
          <w:szCs w:val="21"/>
          <w:highlight w:val="none"/>
        </w:rPr>
        <w:t>各专业咨询服务具体内容详见技术要求。</w:t>
      </w:r>
    </w:p>
    <w:p w14:paraId="3A8F4759">
      <w:pPr>
        <w:spacing w:line="400" w:lineRule="exact"/>
        <w:ind w:firstLine="422" w:firstLineChars="200"/>
        <w:jc w:val="left"/>
        <w:rPr>
          <w:rFonts w:ascii="宋体"/>
          <w:b/>
          <w:szCs w:val="21"/>
          <w:highlight w:val="none"/>
        </w:rPr>
      </w:pPr>
      <w:r>
        <w:rPr>
          <w:rFonts w:hint="eastAsia" w:ascii="宋体" w:hAnsi="宋体"/>
          <w:b/>
          <w:szCs w:val="21"/>
          <w:highlight w:val="none"/>
        </w:rPr>
        <w:t>五、组成本合同的文件</w:t>
      </w:r>
    </w:p>
    <w:p w14:paraId="25B10729">
      <w:pPr>
        <w:spacing w:line="400" w:lineRule="exact"/>
        <w:ind w:firstLine="420" w:firstLineChars="200"/>
        <w:jc w:val="left"/>
        <w:rPr>
          <w:rFonts w:ascii="宋体"/>
          <w:szCs w:val="21"/>
          <w:highlight w:val="none"/>
        </w:rPr>
      </w:pPr>
      <w:r>
        <w:rPr>
          <w:rFonts w:ascii="宋体" w:hAnsi="宋体"/>
          <w:szCs w:val="21"/>
          <w:highlight w:val="none"/>
        </w:rPr>
        <w:t>1.</w:t>
      </w:r>
      <w:r>
        <w:rPr>
          <w:rFonts w:hint="eastAsia" w:ascii="宋体" w:hAnsi="宋体"/>
          <w:szCs w:val="21"/>
          <w:highlight w:val="none"/>
        </w:rPr>
        <w:t>协议书</w:t>
      </w:r>
    </w:p>
    <w:p w14:paraId="136C83F8">
      <w:pPr>
        <w:spacing w:line="400" w:lineRule="exact"/>
        <w:ind w:firstLine="420" w:firstLineChars="200"/>
        <w:jc w:val="left"/>
        <w:rPr>
          <w:rFonts w:ascii="宋体"/>
          <w:szCs w:val="21"/>
          <w:highlight w:val="none"/>
        </w:rPr>
      </w:pPr>
      <w:r>
        <w:rPr>
          <w:rFonts w:ascii="宋体" w:hAnsi="宋体"/>
          <w:szCs w:val="21"/>
          <w:highlight w:val="none"/>
        </w:rPr>
        <w:t>2.</w:t>
      </w:r>
      <w:r>
        <w:rPr>
          <w:rFonts w:hint="eastAsia" w:ascii="宋体" w:hAnsi="宋体"/>
          <w:szCs w:val="21"/>
          <w:highlight w:val="none"/>
        </w:rPr>
        <w:t>中标通知书（适用于招标工程）或委托书（适用于非招标工程）；</w:t>
      </w:r>
    </w:p>
    <w:p w14:paraId="450F6CED">
      <w:pPr>
        <w:spacing w:line="400" w:lineRule="exact"/>
        <w:ind w:firstLine="420" w:firstLineChars="200"/>
        <w:jc w:val="left"/>
        <w:rPr>
          <w:rFonts w:ascii="宋体"/>
          <w:szCs w:val="21"/>
          <w:highlight w:val="none"/>
        </w:rPr>
      </w:pPr>
      <w:r>
        <w:rPr>
          <w:rFonts w:ascii="宋体" w:hAnsi="宋体"/>
          <w:szCs w:val="21"/>
          <w:highlight w:val="none"/>
        </w:rPr>
        <w:t>3.</w:t>
      </w:r>
      <w:r>
        <w:rPr>
          <w:rFonts w:hint="eastAsia" w:ascii="宋体" w:hAnsi="宋体"/>
          <w:szCs w:val="21"/>
          <w:highlight w:val="none"/>
        </w:rPr>
        <w:t>投标文件（适用于招标工程）或全过程工程咨询服务建议书（适用于非招标工程）；</w:t>
      </w:r>
    </w:p>
    <w:p w14:paraId="7BD2A3E6">
      <w:pPr>
        <w:spacing w:line="400" w:lineRule="exact"/>
        <w:ind w:firstLine="420" w:firstLineChars="200"/>
        <w:jc w:val="left"/>
        <w:rPr>
          <w:rFonts w:ascii="宋体"/>
          <w:szCs w:val="21"/>
          <w:highlight w:val="none"/>
        </w:rPr>
      </w:pPr>
      <w:r>
        <w:rPr>
          <w:rFonts w:ascii="宋体" w:hAnsi="宋体"/>
          <w:szCs w:val="21"/>
          <w:highlight w:val="none"/>
        </w:rPr>
        <w:t>4</w:t>
      </w:r>
      <w:r>
        <w:rPr>
          <w:rFonts w:hint="eastAsia" w:ascii="宋体" w:hAnsi="宋体"/>
          <w:szCs w:val="21"/>
          <w:highlight w:val="none"/>
        </w:rPr>
        <w:t>、技术要求及其附件</w:t>
      </w:r>
    </w:p>
    <w:p w14:paraId="5AE6ACA8">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A</w:t>
      </w:r>
      <w:r>
        <w:rPr>
          <w:rFonts w:hint="eastAsia" w:ascii="宋体" w:hAnsi="宋体"/>
          <w:szCs w:val="21"/>
          <w:highlight w:val="none"/>
        </w:rPr>
        <w:t>：项目策划</w:t>
      </w:r>
    </w:p>
    <w:p w14:paraId="5E7A9DD8">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B</w:t>
      </w:r>
      <w:r>
        <w:rPr>
          <w:rFonts w:hint="eastAsia" w:ascii="宋体" w:hAnsi="宋体"/>
          <w:szCs w:val="21"/>
          <w:highlight w:val="none"/>
        </w:rPr>
        <w:t>：工程设计</w:t>
      </w:r>
    </w:p>
    <w:p w14:paraId="21064821">
      <w:pPr>
        <w:spacing w:line="400" w:lineRule="exact"/>
        <w:ind w:firstLine="743" w:firstLineChars="354"/>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C</w:t>
      </w:r>
      <w:r>
        <w:rPr>
          <w:rFonts w:hint="eastAsia" w:ascii="宋体" w:hAnsi="宋体"/>
          <w:szCs w:val="21"/>
          <w:highlight w:val="none"/>
        </w:rPr>
        <w:t>：工程监理</w:t>
      </w:r>
    </w:p>
    <w:p w14:paraId="0909D99B">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D</w:t>
      </w:r>
      <w:r>
        <w:rPr>
          <w:rFonts w:hint="eastAsia" w:ascii="宋体" w:hAnsi="宋体"/>
          <w:szCs w:val="21"/>
          <w:highlight w:val="none"/>
        </w:rPr>
        <w:t>：招标代理</w:t>
      </w:r>
    </w:p>
    <w:p w14:paraId="59EDCAF3">
      <w:pPr>
        <w:spacing w:line="400" w:lineRule="exact"/>
        <w:ind w:firstLine="743" w:firstLineChars="354"/>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E</w:t>
      </w:r>
      <w:r>
        <w:rPr>
          <w:rFonts w:hint="eastAsia" w:ascii="宋体" w:hAnsi="宋体"/>
          <w:szCs w:val="21"/>
          <w:highlight w:val="none"/>
        </w:rPr>
        <w:t>：造价咨询</w:t>
      </w:r>
    </w:p>
    <w:p w14:paraId="128FBC99">
      <w:pPr>
        <w:spacing w:line="400" w:lineRule="exact"/>
        <w:ind w:firstLine="840" w:firstLineChars="400"/>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F</w:t>
      </w:r>
      <w:r>
        <w:rPr>
          <w:rFonts w:hint="eastAsia" w:ascii="宋体" w:hAnsi="宋体"/>
          <w:szCs w:val="21"/>
          <w:highlight w:val="none"/>
        </w:rPr>
        <w:t>：项目管理</w:t>
      </w:r>
    </w:p>
    <w:p w14:paraId="2F42F7C6">
      <w:pPr>
        <w:spacing w:line="400" w:lineRule="exact"/>
        <w:ind w:firstLine="420" w:firstLineChars="200"/>
        <w:jc w:val="left"/>
        <w:rPr>
          <w:rFonts w:ascii="宋体"/>
          <w:szCs w:val="21"/>
          <w:highlight w:val="none"/>
        </w:rPr>
      </w:pPr>
      <w:r>
        <w:rPr>
          <w:rFonts w:ascii="宋体" w:hAnsi="宋体"/>
          <w:szCs w:val="21"/>
          <w:highlight w:val="none"/>
        </w:rPr>
        <w:t>5.</w:t>
      </w:r>
      <w:r>
        <w:rPr>
          <w:rFonts w:hint="eastAsia" w:ascii="宋体" w:hAnsi="宋体"/>
          <w:szCs w:val="21"/>
          <w:highlight w:val="none"/>
        </w:rPr>
        <w:t>专用条件及其附录</w:t>
      </w:r>
    </w:p>
    <w:p w14:paraId="372837A1">
      <w:pPr>
        <w:spacing w:line="400" w:lineRule="exact"/>
        <w:ind w:firstLine="420" w:firstLineChars="200"/>
        <w:jc w:val="left"/>
        <w:rPr>
          <w:rFonts w:ascii="宋体"/>
          <w:szCs w:val="21"/>
          <w:highlight w:val="none"/>
        </w:rPr>
      </w:pPr>
      <w:r>
        <w:rPr>
          <w:rFonts w:ascii="宋体" w:hAnsi="宋体"/>
          <w:szCs w:val="21"/>
          <w:highlight w:val="none"/>
        </w:rPr>
        <w:t>6.</w:t>
      </w:r>
      <w:r>
        <w:rPr>
          <w:rFonts w:hint="eastAsia" w:ascii="宋体" w:hAnsi="宋体"/>
          <w:szCs w:val="21"/>
          <w:highlight w:val="none"/>
        </w:rPr>
        <w:t>通用条件</w:t>
      </w:r>
    </w:p>
    <w:p w14:paraId="1CEAE705">
      <w:pPr>
        <w:spacing w:line="400" w:lineRule="exact"/>
        <w:ind w:firstLine="420" w:firstLineChars="200"/>
        <w:jc w:val="left"/>
        <w:rPr>
          <w:rFonts w:ascii="宋体"/>
          <w:szCs w:val="21"/>
          <w:highlight w:val="none"/>
        </w:rPr>
      </w:pPr>
      <w:r>
        <w:rPr>
          <w:rFonts w:hint="eastAsia" w:ascii="宋体" w:hAnsi="宋体"/>
          <w:szCs w:val="21"/>
          <w:highlight w:val="none"/>
        </w:rPr>
        <w:t>本合同签订后，双方依法签订的补充协议也是本合同文件的组成部分。</w:t>
      </w:r>
    </w:p>
    <w:p w14:paraId="7AAD61E3">
      <w:pPr>
        <w:spacing w:line="400" w:lineRule="exact"/>
        <w:ind w:firstLine="422" w:firstLineChars="200"/>
        <w:jc w:val="left"/>
        <w:rPr>
          <w:rFonts w:ascii="宋体"/>
          <w:b/>
          <w:szCs w:val="21"/>
          <w:highlight w:val="none"/>
        </w:rPr>
      </w:pPr>
      <w:r>
        <w:rPr>
          <w:rFonts w:hint="eastAsia" w:ascii="宋体" w:hAnsi="宋体"/>
          <w:b/>
          <w:szCs w:val="21"/>
          <w:highlight w:val="none"/>
        </w:rPr>
        <w:t>六、全过程工程咨询服务项目总负责人及团队主要成员</w:t>
      </w:r>
    </w:p>
    <w:p w14:paraId="68912EB5">
      <w:pPr>
        <w:spacing w:line="400" w:lineRule="exact"/>
        <w:ind w:left="360" w:firstLine="420" w:firstLineChars="200"/>
        <w:jc w:val="left"/>
        <w:rPr>
          <w:rFonts w:ascii="宋体"/>
          <w:szCs w:val="21"/>
          <w:highlight w:val="none"/>
        </w:rPr>
      </w:pPr>
      <w:r>
        <w:rPr>
          <w:rFonts w:hint="eastAsia" w:ascii="宋体" w:hAnsi="宋体"/>
          <w:szCs w:val="21"/>
          <w:highlight w:val="none"/>
        </w:rPr>
        <w:t>项目总负责人：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24B9CFAA">
      <w:pPr>
        <w:spacing w:line="400" w:lineRule="exact"/>
        <w:ind w:left="360" w:firstLine="420" w:firstLineChars="200"/>
        <w:jc w:val="left"/>
        <w:rPr>
          <w:rFonts w:ascii="宋体"/>
          <w:szCs w:val="21"/>
          <w:highlight w:val="none"/>
        </w:rPr>
      </w:pPr>
      <w:r>
        <w:rPr>
          <w:rFonts w:hint="eastAsia" w:ascii="宋体" w:hAnsi="宋体"/>
          <w:szCs w:val="21"/>
          <w:highlight w:val="none"/>
        </w:rPr>
        <w:t>全过程工程咨询服务项目团队主要成员：</w:t>
      </w:r>
    </w:p>
    <w:p w14:paraId="0760748B">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项目策划负责人：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1A63AC6D">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工程设计负责人：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bookmarkStart w:id="239" w:name="OLE_LINK1"/>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bookmarkEnd w:id="239"/>
    </w:p>
    <w:p w14:paraId="7CDA8059">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总监理工程师：</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657AE3B8">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招标代理负责人：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367F00C1">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造价咨询负责人：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414CD011">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项目管理负责人：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3AD701DB">
      <w:pPr>
        <w:spacing w:line="400" w:lineRule="exact"/>
        <w:ind w:left="360" w:firstLine="420" w:firstLineChars="200"/>
        <w:jc w:val="left"/>
        <w:rPr>
          <w:rFonts w:ascii="宋体"/>
          <w:szCs w:val="21"/>
          <w:highlight w:val="none"/>
        </w:rPr>
      </w:pPr>
      <w:r>
        <w:rPr>
          <w:rFonts w:hint="eastAsia" w:ascii="宋体" w:hAnsi="宋体"/>
          <w:szCs w:val="21"/>
          <w:highlight w:val="none"/>
        </w:rPr>
        <w:t>注：上述负责人，如现行法律法规有相应执业资格要求的，应填写注册证书号。</w:t>
      </w:r>
    </w:p>
    <w:p w14:paraId="656EF4B1">
      <w:pPr>
        <w:spacing w:line="400" w:lineRule="exact"/>
        <w:ind w:firstLine="422" w:firstLineChars="200"/>
        <w:jc w:val="left"/>
        <w:rPr>
          <w:rFonts w:ascii="宋体"/>
          <w:b/>
          <w:szCs w:val="21"/>
          <w:highlight w:val="none"/>
        </w:rPr>
      </w:pPr>
      <w:r>
        <w:rPr>
          <w:rFonts w:hint="eastAsia" w:ascii="宋体" w:hAnsi="宋体"/>
          <w:b/>
          <w:szCs w:val="21"/>
          <w:highlight w:val="none"/>
        </w:rPr>
        <w:t>七、签约酬金</w:t>
      </w:r>
    </w:p>
    <w:p w14:paraId="6CAE04BD">
      <w:pPr>
        <w:spacing w:line="400" w:lineRule="exact"/>
        <w:ind w:firstLine="420" w:firstLineChars="200"/>
        <w:jc w:val="left"/>
        <w:rPr>
          <w:rFonts w:ascii="宋体"/>
          <w:szCs w:val="21"/>
          <w:highlight w:val="none"/>
        </w:rPr>
      </w:pPr>
      <w:r>
        <w:rPr>
          <w:rFonts w:hint="eastAsia" w:ascii="宋体" w:hAnsi="宋体"/>
          <w:szCs w:val="21"/>
          <w:highlight w:val="none"/>
        </w:rPr>
        <w:t>签约酬金（大写）：</w:t>
      </w:r>
      <w:r>
        <w:rPr>
          <w:rFonts w:ascii="宋体" w:hAnsi="宋体"/>
          <w:szCs w:val="21"/>
          <w:highlight w:val="none"/>
          <w:u w:val="single"/>
        </w:rPr>
        <w:t xml:space="preserve">                        </w:t>
      </w:r>
      <w:r>
        <w:rPr>
          <w:rFonts w:hint="eastAsia" w:ascii="宋体" w:hAnsi="宋体"/>
          <w:szCs w:val="21"/>
          <w:highlight w:val="none"/>
        </w:rPr>
        <w:t>（</w:t>
      </w:r>
      <w:r>
        <w:rPr>
          <w:rFonts w:ascii="宋体"/>
          <w:szCs w:val="21"/>
          <w:highlight w:val="none"/>
        </w:rPr>
        <w:t>¥</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w:t>
      </w:r>
    </w:p>
    <w:p w14:paraId="6AF8A9B7">
      <w:pPr>
        <w:spacing w:line="400" w:lineRule="exact"/>
        <w:ind w:firstLine="420" w:firstLineChars="200"/>
        <w:jc w:val="left"/>
        <w:rPr>
          <w:rFonts w:ascii="宋体"/>
          <w:szCs w:val="21"/>
          <w:highlight w:val="none"/>
        </w:rPr>
      </w:pPr>
      <w:r>
        <w:rPr>
          <w:rFonts w:hint="eastAsia" w:ascii="宋体" w:hAnsi="宋体"/>
          <w:szCs w:val="21"/>
          <w:highlight w:val="none"/>
        </w:rPr>
        <w:t>包括：</w:t>
      </w:r>
    </w:p>
    <w:p w14:paraId="6093B06A">
      <w:pPr>
        <w:spacing w:line="400" w:lineRule="exact"/>
        <w:ind w:left="360" w:firstLine="420" w:firstLineChars="200"/>
        <w:jc w:val="left"/>
        <w:rPr>
          <w:rFonts w:ascii="宋体"/>
          <w:szCs w:val="21"/>
          <w:highlight w:val="none"/>
        </w:rPr>
      </w:pPr>
      <w:r>
        <w:rPr>
          <w:rFonts w:hint="eastAsia" w:ascii="宋体" w:hAnsi="宋体"/>
          <w:szCs w:val="21"/>
          <w:highlight w:val="none"/>
        </w:rPr>
        <w:t>相应统筹酬金</w:t>
      </w:r>
      <w:r>
        <w:rPr>
          <w:rFonts w:hint="eastAsia" w:ascii="宋体"/>
          <w:sz w:val="24"/>
          <w:highlight w:val="none"/>
        </w:rPr>
        <w:t>：</w:t>
      </w:r>
      <w:r>
        <w:rPr>
          <w:rFonts w:ascii="宋体"/>
          <w:sz w:val="24"/>
          <w:highlight w:val="none"/>
        </w:rPr>
        <w:t>______</w:t>
      </w:r>
    </w:p>
    <w:p w14:paraId="1CE3B1BE">
      <w:pPr>
        <w:spacing w:line="400" w:lineRule="exact"/>
        <w:ind w:left="360" w:firstLine="480" w:firstLineChars="2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项目策划酬金：</w:t>
      </w:r>
    </w:p>
    <w:p w14:paraId="66269AB1">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监理酬金：按《江苏省水利工程设计概（估）算编制规定（2017年修订）》收费标准*   %；</w:t>
      </w:r>
    </w:p>
    <w:p w14:paraId="72095BE1">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工程造价结算审计（审核）酬金：按照宜纪[2009]23号文《市政府建设项目委托中介机构参审审计费用结算问题会议纪要》文件收费标准*    % ；</w:t>
      </w:r>
    </w:p>
    <w:p w14:paraId="6C16AFEF">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工程造价跟踪审计（审核）酬金：按照宜纪[2009]23号文《市政府建设项目委托中介机构参审审计费用结算问题会议纪要》文件收费标准*    % ；</w:t>
      </w:r>
    </w:p>
    <w:p w14:paraId="3D6864ED">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√项目管理服务酬金：按财建【2016】504 号文规定的基价×*    %。</w:t>
      </w:r>
    </w:p>
    <w:p w14:paraId="68F4B0BC">
      <w:pPr>
        <w:spacing w:line="400" w:lineRule="exact"/>
        <w:ind w:firstLine="840" w:firstLineChars="35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项目管理酬金：</w:t>
      </w:r>
    </w:p>
    <w:p w14:paraId="0E2D17EF">
      <w:pPr>
        <w:spacing w:line="400" w:lineRule="exact"/>
        <w:ind w:left="360" w:firstLine="480" w:firstLineChars="200"/>
        <w:jc w:val="left"/>
        <w:rPr>
          <w:rFonts w:ascii="宋体"/>
          <w:szCs w:val="21"/>
          <w:highlight w:val="none"/>
          <w:u w:val="singl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其他：</w:t>
      </w:r>
    </w:p>
    <w:p w14:paraId="72FBD40F">
      <w:pPr>
        <w:spacing w:line="400" w:lineRule="exact"/>
        <w:ind w:left="360" w:firstLine="420" w:firstLineChars="200"/>
        <w:jc w:val="left"/>
        <w:rPr>
          <w:rFonts w:ascii="宋体"/>
          <w:szCs w:val="21"/>
          <w:highlight w:val="none"/>
          <w:u w:val="single"/>
        </w:rPr>
      </w:pPr>
    </w:p>
    <w:p w14:paraId="4203320B">
      <w:pPr>
        <w:spacing w:line="400" w:lineRule="exact"/>
        <w:ind w:firstLine="420" w:firstLineChars="200"/>
        <w:jc w:val="left"/>
        <w:rPr>
          <w:rFonts w:ascii="宋体"/>
          <w:szCs w:val="21"/>
          <w:highlight w:val="none"/>
        </w:rPr>
      </w:pPr>
      <w:r>
        <w:rPr>
          <w:rFonts w:hint="eastAsia" w:ascii="宋体" w:hAnsi="宋体"/>
          <w:szCs w:val="21"/>
          <w:highlight w:val="none"/>
        </w:rPr>
        <w:t>八、服务期限</w:t>
      </w:r>
    </w:p>
    <w:p w14:paraId="0FA3ADBC">
      <w:pPr>
        <w:spacing w:line="400" w:lineRule="exact"/>
        <w:ind w:firstLine="630" w:firstLineChars="300"/>
        <w:jc w:val="left"/>
        <w:rPr>
          <w:rFonts w:ascii="宋体"/>
          <w:szCs w:val="21"/>
          <w:highlight w:val="none"/>
        </w:rPr>
      </w:pPr>
      <w:r>
        <w:rPr>
          <w:rFonts w:hint="eastAsia" w:ascii="宋体" w:hAnsi="宋体"/>
          <w:szCs w:val="21"/>
          <w:highlight w:val="none"/>
        </w:rPr>
        <w:t>全过程工程咨询服务期限：自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154CC1B1">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项目策划服务期限：自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3CAF6636">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工程设计服务期限：自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2FF10753">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工程监理服务期限：自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4CB2CF99">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招标代理服务期限：自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02D2EF43">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造价咨询服务期限：自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7131862C">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项目管理服务期限：自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13F545F8">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其他服务期限：自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4389E893">
      <w:pPr>
        <w:spacing w:line="400" w:lineRule="exact"/>
        <w:ind w:firstLine="630" w:firstLineChars="300"/>
        <w:jc w:val="left"/>
        <w:rPr>
          <w:rFonts w:ascii="宋体"/>
          <w:szCs w:val="21"/>
          <w:highlight w:val="none"/>
        </w:rPr>
      </w:pPr>
    </w:p>
    <w:p w14:paraId="1CAC330F">
      <w:pPr>
        <w:spacing w:line="400" w:lineRule="exact"/>
        <w:ind w:firstLine="422" w:firstLineChars="200"/>
        <w:jc w:val="left"/>
        <w:rPr>
          <w:rFonts w:ascii="宋体"/>
          <w:b/>
          <w:szCs w:val="21"/>
          <w:highlight w:val="none"/>
        </w:rPr>
      </w:pPr>
      <w:r>
        <w:rPr>
          <w:rFonts w:hint="eastAsia" w:ascii="宋体" w:hAnsi="宋体"/>
          <w:b/>
          <w:szCs w:val="21"/>
          <w:highlight w:val="none"/>
        </w:rPr>
        <w:t>九、双方承诺</w:t>
      </w:r>
    </w:p>
    <w:p w14:paraId="152F9042">
      <w:pPr>
        <w:spacing w:line="400" w:lineRule="exact"/>
        <w:ind w:firstLine="420" w:firstLineChars="200"/>
        <w:jc w:val="left"/>
        <w:rPr>
          <w:rFonts w:ascii="宋体"/>
          <w:szCs w:val="21"/>
          <w:highlight w:val="none"/>
        </w:rPr>
      </w:pPr>
      <w:r>
        <w:rPr>
          <w:rFonts w:hint="eastAsia" w:ascii="宋体" w:hAnsi="宋体"/>
          <w:szCs w:val="21"/>
          <w:highlight w:val="none"/>
        </w:rPr>
        <w:t>受托人向委托人承诺，按照本合同约定提供全过程工程咨询服务。</w:t>
      </w:r>
    </w:p>
    <w:p w14:paraId="5CBDE43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委托人向受托人承诺，按照本合同约定派遣相应的人员，提供房屋、资料、设备，并按本合同约定支付酬金。</w:t>
      </w:r>
    </w:p>
    <w:p w14:paraId="7BE9845F">
      <w:pPr>
        <w:pStyle w:val="2"/>
        <w:kinsoku w:val="0"/>
        <w:overflowPunct w:val="0"/>
        <w:ind w:firstLine="422" w:firstLineChars="200"/>
        <w:jc w:val="left"/>
        <w:rPr>
          <w:rFonts w:hint="eastAsia" w:ascii="宋体" w:hAnsi="宋体"/>
          <w:b/>
          <w:kern w:val="2"/>
          <w:sz w:val="21"/>
          <w:szCs w:val="21"/>
          <w:highlight w:val="none"/>
        </w:rPr>
      </w:pPr>
    </w:p>
    <w:p w14:paraId="488821A7">
      <w:pPr>
        <w:pStyle w:val="2"/>
        <w:kinsoku w:val="0"/>
        <w:overflowPunct w:val="0"/>
        <w:ind w:firstLine="422" w:firstLineChars="200"/>
        <w:jc w:val="left"/>
        <w:rPr>
          <w:rFonts w:hint="eastAsia" w:ascii="宋体" w:hAnsi="宋体"/>
          <w:b/>
          <w:kern w:val="2"/>
          <w:sz w:val="21"/>
          <w:szCs w:val="21"/>
          <w:highlight w:val="none"/>
        </w:rPr>
      </w:pPr>
      <w:r>
        <w:rPr>
          <w:rFonts w:hint="eastAsia" w:ascii="宋体" w:hAnsi="宋体"/>
          <w:b/>
          <w:kern w:val="2"/>
          <w:sz w:val="21"/>
          <w:szCs w:val="21"/>
          <w:highlight w:val="none"/>
        </w:rPr>
        <w:t>十、委托人约定的支付次数、支付时间、支付比例和支付金额向受托人支付全过程工程</w:t>
      </w:r>
    </w:p>
    <w:p w14:paraId="297FE84C">
      <w:pPr>
        <w:spacing w:line="400" w:lineRule="exact"/>
        <w:ind w:firstLine="420" w:firstLineChars="200"/>
        <w:jc w:val="left"/>
        <w:rPr>
          <w:rFonts w:ascii="宋体"/>
          <w:szCs w:val="21"/>
          <w:highlight w:val="none"/>
        </w:rPr>
      </w:pPr>
      <w:r>
        <w:rPr>
          <w:rFonts w:hint="eastAsia" w:ascii="宋体"/>
          <w:szCs w:val="21"/>
          <w:highlight w:val="none"/>
        </w:rPr>
        <w:t>（1） 工程造价咨询服务费：跟踪审计费每半年支付一次，支付比例为50%，工程竣工验收合格后，支付至80%；工程造价结算审核结束后支付至90%；余款在综合验收及工程决算审核结束后一个月内付清。结算审计费待工程造价结算审核结束后支付至90%；余款在综合验收及工程决算审核结束后一个月内付清。</w:t>
      </w:r>
    </w:p>
    <w:p w14:paraId="2AFF8347">
      <w:pPr>
        <w:spacing w:line="400" w:lineRule="exact"/>
        <w:ind w:firstLine="420" w:firstLineChars="200"/>
        <w:jc w:val="left"/>
        <w:rPr>
          <w:rFonts w:ascii="宋体"/>
          <w:szCs w:val="21"/>
          <w:highlight w:val="none"/>
        </w:rPr>
      </w:pPr>
      <w:r>
        <w:rPr>
          <w:rFonts w:hint="eastAsia" w:ascii="宋体"/>
          <w:szCs w:val="21"/>
          <w:highlight w:val="none"/>
        </w:rPr>
        <w:t>（2）监理费：每2个月支付根据工程形象进度按合同约定的方式计算的服务费的60%；工程竣工验收合格后，支付至合同价的80%；余款在项目综合验收及工程结算审定后一个月内付清。</w:t>
      </w:r>
    </w:p>
    <w:p w14:paraId="275C0234">
      <w:pPr>
        <w:spacing w:line="400" w:lineRule="exact"/>
        <w:ind w:firstLine="420" w:firstLineChars="200"/>
        <w:jc w:val="left"/>
        <w:rPr>
          <w:rFonts w:ascii="宋体"/>
          <w:szCs w:val="21"/>
          <w:highlight w:val="none"/>
        </w:rPr>
      </w:pPr>
      <w:r>
        <w:rPr>
          <w:rFonts w:hint="eastAsia" w:ascii="宋体"/>
          <w:szCs w:val="21"/>
          <w:highlight w:val="none"/>
        </w:rPr>
        <w:t>（3）项目管理服务费（以甲方实际指令为准）：项目竣工验收合格后，当年年底一次性付清。</w:t>
      </w:r>
    </w:p>
    <w:p w14:paraId="0FCD3C57">
      <w:pPr>
        <w:spacing w:line="400" w:lineRule="exact"/>
        <w:ind w:firstLine="420" w:firstLineChars="200"/>
        <w:jc w:val="left"/>
        <w:rPr>
          <w:rFonts w:ascii="宋体"/>
          <w:szCs w:val="21"/>
          <w:highlight w:val="none"/>
        </w:rPr>
      </w:pPr>
      <w:r>
        <w:rPr>
          <w:rFonts w:hint="eastAsia" w:ascii="宋体"/>
          <w:szCs w:val="21"/>
          <w:highlight w:val="none"/>
        </w:rPr>
        <w:t>（4）最终结算价格与考核挂钩。</w:t>
      </w:r>
    </w:p>
    <w:p w14:paraId="4F9098F7">
      <w:pPr>
        <w:spacing w:line="400" w:lineRule="exact"/>
        <w:ind w:firstLine="422" w:firstLineChars="200"/>
        <w:jc w:val="left"/>
        <w:rPr>
          <w:rFonts w:ascii="宋体"/>
          <w:b/>
          <w:szCs w:val="21"/>
          <w:highlight w:val="none"/>
        </w:rPr>
      </w:pPr>
      <w:r>
        <w:rPr>
          <w:rFonts w:hint="eastAsia" w:ascii="宋体" w:hAnsi="宋体"/>
          <w:b/>
          <w:szCs w:val="21"/>
          <w:highlight w:val="none"/>
        </w:rPr>
        <w:t>十一、合同订立及生效</w:t>
      </w:r>
    </w:p>
    <w:p w14:paraId="794920E1">
      <w:pPr>
        <w:spacing w:line="400" w:lineRule="exact"/>
        <w:ind w:firstLine="420" w:firstLineChars="200"/>
        <w:jc w:val="left"/>
        <w:rPr>
          <w:rFonts w:ascii="宋体"/>
          <w:szCs w:val="21"/>
          <w:highlight w:val="none"/>
        </w:rPr>
      </w:pPr>
      <w:r>
        <w:rPr>
          <w:rFonts w:hint="eastAsia" w:ascii="宋体" w:hAnsi="宋体"/>
          <w:szCs w:val="21"/>
          <w:highlight w:val="none"/>
        </w:rPr>
        <w:t>合同订立时间：</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w:t>
      </w:r>
    </w:p>
    <w:p w14:paraId="057F6030">
      <w:pPr>
        <w:spacing w:line="400" w:lineRule="exact"/>
        <w:ind w:firstLine="420" w:firstLineChars="200"/>
        <w:jc w:val="left"/>
        <w:rPr>
          <w:rFonts w:ascii="宋体"/>
          <w:szCs w:val="21"/>
          <w:highlight w:val="none"/>
          <w:u w:val="single"/>
        </w:rPr>
      </w:pPr>
      <w:r>
        <w:rPr>
          <w:rFonts w:hint="eastAsia" w:ascii="宋体" w:hAnsi="宋体"/>
          <w:szCs w:val="21"/>
          <w:highlight w:val="none"/>
        </w:rPr>
        <w:t>合同订立地点：</w:t>
      </w:r>
    </w:p>
    <w:p w14:paraId="0299BC13">
      <w:pPr>
        <w:spacing w:line="400" w:lineRule="exact"/>
        <w:ind w:firstLine="420" w:firstLineChars="200"/>
        <w:jc w:val="left"/>
        <w:rPr>
          <w:rFonts w:ascii="宋体"/>
          <w:szCs w:val="21"/>
          <w:highlight w:val="none"/>
        </w:rPr>
      </w:pPr>
      <w:r>
        <w:rPr>
          <w:rFonts w:hint="eastAsia" w:ascii="宋体" w:hAnsi="宋体"/>
          <w:szCs w:val="21"/>
          <w:highlight w:val="none"/>
        </w:rPr>
        <w:t>本合同一式</w:t>
      </w:r>
      <w:r>
        <w:rPr>
          <w:rFonts w:ascii="宋体" w:hAnsi="宋体"/>
          <w:szCs w:val="21"/>
          <w:highlight w:val="none"/>
          <w:u w:val="single"/>
        </w:rPr>
        <w:t xml:space="preserve">   </w:t>
      </w:r>
      <w:r>
        <w:rPr>
          <w:rFonts w:hint="eastAsia" w:ascii="宋体" w:hAnsi="宋体"/>
          <w:szCs w:val="21"/>
          <w:highlight w:val="none"/>
        </w:rPr>
        <w:t>份，具有同等法律效力，双方各执</w:t>
      </w:r>
      <w:r>
        <w:rPr>
          <w:rFonts w:ascii="宋体" w:hAnsi="宋体"/>
          <w:szCs w:val="21"/>
          <w:highlight w:val="none"/>
          <w:u w:val="single"/>
        </w:rPr>
        <w:t xml:space="preserve">     </w:t>
      </w:r>
      <w:r>
        <w:rPr>
          <w:rFonts w:hint="eastAsia" w:ascii="宋体" w:hAnsi="宋体"/>
          <w:szCs w:val="21"/>
          <w:highlight w:val="none"/>
        </w:rPr>
        <w:t>份。</w:t>
      </w:r>
    </w:p>
    <w:p w14:paraId="5ED0E5F0">
      <w:pPr>
        <w:spacing w:line="400" w:lineRule="exact"/>
        <w:ind w:firstLine="420" w:firstLineChars="200"/>
        <w:jc w:val="left"/>
        <w:rPr>
          <w:rFonts w:ascii="宋体"/>
          <w:szCs w:val="21"/>
          <w:highlight w:val="none"/>
          <w:u w:val="single"/>
        </w:rPr>
      </w:pPr>
      <w:r>
        <w:rPr>
          <w:rFonts w:hint="eastAsia" w:ascii="宋体" w:hAnsi="宋体"/>
          <w:szCs w:val="21"/>
          <w:highlight w:val="none"/>
        </w:rPr>
        <w:t>本合同双方约定：</w:t>
      </w:r>
      <w:r>
        <w:rPr>
          <w:rFonts w:ascii="宋体" w:hAnsi="宋体"/>
          <w:szCs w:val="21"/>
          <w:highlight w:val="none"/>
        </w:rPr>
        <w:t xml:space="preserve">  </w:t>
      </w:r>
      <w:r>
        <w:rPr>
          <w:rFonts w:hint="eastAsia" w:ascii="宋体" w:hAnsi="宋体"/>
          <w:szCs w:val="21"/>
          <w:highlight w:val="none"/>
          <w:u w:val="single"/>
        </w:rPr>
        <w:t>委托人和受托人的法定代表人或其授权受托人在协议书上签字并盖单位章</w:t>
      </w:r>
      <w:r>
        <w:rPr>
          <w:rFonts w:ascii="宋体" w:hAnsi="宋体"/>
          <w:szCs w:val="21"/>
          <w:highlight w:val="none"/>
          <w:u w:val="single"/>
        </w:rPr>
        <w:t xml:space="preserve"> </w:t>
      </w:r>
      <w:r>
        <w:rPr>
          <w:rFonts w:hint="eastAsia" w:ascii="宋体" w:hAnsi="宋体"/>
          <w:szCs w:val="21"/>
          <w:highlight w:val="none"/>
          <w:u w:val="single"/>
        </w:rPr>
        <w:t>后本合同</w:t>
      </w:r>
      <w:r>
        <w:rPr>
          <w:rFonts w:hint="eastAsia" w:ascii="宋体" w:hAnsi="宋体"/>
          <w:szCs w:val="21"/>
          <w:highlight w:val="none"/>
        </w:rPr>
        <w:t>生效</w:t>
      </w:r>
    </w:p>
    <w:tbl>
      <w:tblPr>
        <w:tblStyle w:val="34"/>
        <w:tblpPr w:topFromText="180" w:bottomFromText="180" w:vertAnchor="text" w:horzAnchor="page" w:tblpXSpec="center" w:tblpY="258"/>
        <w:tblOverlap w:val="never"/>
        <w:tblW w:w="8222" w:type="dxa"/>
        <w:jc w:val="center"/>
        <w:tblLayout w:type="fixed"/>
        <w:tblCellMar>
          <w:top w:w="0" w:type="dxa"/>
          <w:left w:w="108" w:type="dxa"/>
          <w:bottom w:w="0" w:type="dxa"/>
          <w:right w:w="108" w:type="dxa"/>
        </w:tblCellMar>
      </w:tblPr>
      <w:tblGrid>
        <w:gridCol w:w="4680"/>
        <w:gridCol w:w="3542"/>
      </w:tblGrid>
      <w:tr w14:paraId="15A76A7F">
        <w:tblPrEx>
          <w:tblCellMar>
            <w:top w:w="0" w:type="dxa"/>
            <w:left w:w="108" w:type="dxa"/>
            <w:bottom w:w="0" w:type="dxa"/>
            <w:right w:w="108" w:type="dxa"/>
          </w:tblCellMar>
        </w:tblPrEx>
        <w:trPr>
          <w:trHeight w:val="476" w:hRule="atLeast"/>
          <w:jc w:val="center"/>
        </w:trPr>
        <w:tc>
          <w:tcPr>
            <w:tcW w:w="4680" w:type="dxa"/>
          </w:tcPr>
          <w:p w14:paraId="0F121B82">
            <w:pPr>
              <w:spacing w:line="400" w:lineRule="exact"/>
              <w:jc w:val="left"/>
              <w:rPr>
                <w:rFonts w:ascii="宋体"/>
                <w:szCs w:val="21"/>
                <w:highlight w:val="none"/>
              </w:rPr>
            </w:pPr>
            <w:r>
              <w:rPr>
                <w:rFonts w:hint="eastAsia" w:ascii="宋体" w:hAnsi="宋体"/>
                <w:szCs w:val="21"/>
                <w:highlight w:val="none"/>
              </w:rPr>
              <w:t>委托人：（签章）</w:t>
            </w:r>
          </w:p>
        </w:tc>
        <w:tc>
          <w:tcPr>
            <w:tcW w:w="3542" w:type="dxa"/>
          </w:tcPr>
          <w:p w14:paraId="44B6033F">
            <w:pPr>
              <w:spacing w:line="400" w:lineRule="exact"/>
              <w:jc w:val="left"/>
              <w:rPr>
                <w:rFonts w:ascii="宋体"/>
                <w:szCs w:val="21"/>
                <w:highlight w:val="none"/>
              </w:rPr>
            </w:pPr>
            <w:r>
              <w:rPr>
                <w:rFonts w:hint="eastAsia" w:ascii="宋体" w:hAnsi="宋体"/>
                <w:szCs w:val="21"/>
                <w:highlight w:val="none"/>
              </w:rPr>
              <w:t>受托人：（签章）</w:t>
            </w:r>
          </w:p>
        </w:tc>
      </w:tr>
      <w:tr w14:paraId="4CFA1BF5">
        <w:tblPrEx>
          <w:tblCellMar>
            <w:top w:w="0" w:type="dxa"/>
            <w:left w:w="108" w:type="dxa"/>
            <w:bottom w:w="0" w:type="dxa"/>
            <w:right w:w="108" w:type="dxa"/>
          </w:tblCellMar>
        </w:tblPrEx>
        <w:trPr>
          <w:trHeight w:val="476" w:hRule="atLeast"/>
          <w:jc w:val="center"/>
        </w:trPr>
        <w:tc>
          <w:tcPr>
            <w:tcW w:w="4680" w:type="dxa"/>
          </w:tcPr>
          <w:p w14:paraId="52AD3F1C">
            <w:pPr>
              <w:spacing w:line="400" w:lineRule="exact"/>
              <w:jc w:val="left"/>
              <w:rPr>
                <w:rFonts w:ascii="宋体"/>
                <w:szCs w:val="21"/>
                <w:highlight w:val="none"/>
              </w:rPr>
            </w:pPr>
            <w:r>
              <w:rPr>
                <w:rFonts w:hint="eastAsia" w:ascii="宋体" w:hAnsi="宋体"/>
                <w:szCs w:val="21"/>
                <w:highlight w:val="none"/>
              </w:rPr>
              <w:t>住所：</w:t>
            </w:r>
          </w:p>
        </w:tc>
        <w:tc>
          <w:tcPr>
            <w:tcW w:w="3542" w:type="dxa"/>
          </w:tcPr>
          <w:p w14:paraId="5B5AFF1E">
            <w:pPr>
              <w:spacing w:line="400" w:lineRule="exact"/>
              <w:jc w:val="left"/>
              <w:rPr>
                <w:rFonts w:ascii="宋体"/>
                <w:szCs w:val="21"/>
                <w:highlight w:val="none"/>
              </w:rPr>
            </w:pPr>
            <w:r>
              <w:rPr>
                <w:rFonts w:hint="eastAsia" w:ascii="宋体" w:hAnsi="宋体"/>
                <w:szCs w:val="21"/>
                <w:highlight w:val="none"/>
              </w:rPr>
              <w:t>住所：</w:t>
            </w:r>
          </w:p>
        </w:tc>
      </w:tr>
      <w:tr w14:paraId="06B0857C">
        <w:tblPrEx>
          <w:tblCellMar>
            <w:top w:w="0" w:type="dxa"/>
            <w:left w:w="108" w:type="dxa"/>
            <w:bottom w:w="0" w:type="dxa"/>
            <w:right w:w="108" w:type="dxa"/>
          </w:tblCellMar>
        </w:tblPrEx>
        <w:trPr>
          <w:trHeight w:val="476" w:hRule="atLeast"/>
          <w:jc w:val="center"/>
        </w:trPr>
        <w:tc>
          <w:tcPr>
            <w:tcW w:w="4680" w:type="dxa"/>
          </w:tcPr>
          <w:p w14:paraId="320F5BB9">
            <w:pPr>
              <w:spacing w:line="400" w:lineRule="exact"/>
              <w:jc w:val="left"/>
              <w:rPr>
                <w:rFonts w:ascii="宋体"/>
                <w:szCs w:val="21"/>
                <w:highlight w:val="none"/>
              </w:rPr>
            </w:pPr>
            <w:r>
              <w:rPr>
                <w:rFonts w:hint="eastAsia" w:ascii="宋体" w:hAnsi="宋体"/>
                <w:szCs w:val="21"/>
                <w:highlight w:val="none"/>
              </w:rPr>
              <w:t>邮政编码：</w:t>
            </w:r>
          </w:p>
        </w:tc>
        <w:tc>
          <w:tcPr>
            <w:tcW w:w="3542" w:type="dxa"/>
          </w:tcPr>
          <w:p w14:paraId="123E9A42">
            <w:pPr>
              <w:spacing w:line="400" w:lineRule="exact"/>
              <w:jc w:val="left"/>
              <w:rPr>
                <w:rFonts w:ascii="宋体"/>
                <w:szCs w:val="21"/>
                <w:highlight w:val="none"/>
              </w:rPr>
            </w:pPr>
            <w:r>
              <w:rPr>
                <w:rFonts w:hint="eastAsia" w:ascii="宋体" w:hAnsi="宋体"/>
                <w:szCs w:val="21"/>
                <w:highlight w:val="none"/>
              </w:rPr>
              <w:t>邮政编码：</w:t>
            </w:r>
          </w:p>
        </w:tc>
      </w:tr>
      <w:tr w14:paraId="17688B82">
        <w:tblPrEx>
          <w:tblCellMar>
            <w:top w:w="0" w:type="dxa"/>
            <w:left w:w="108" w:type="dxa"/>
            <w:bottom w:w="0" w:type="dxa"/>
            <w:right w:w="108" w:type="dxa"/>
          </w:tblCellMar>
        </w:tblPrEx>
        <w:trPr>
          <w:trHeight w:val="476" w:hRule="atLeast"/>
          <w:jc w:val="center"/>
        </w:trPr>
        <w:tc>
          <w:tcPr>
            <w:tcW w:w="4680" w:type="dxa"/>
          </w:tcPr>
          <w:p w14:paraId="3CFD9FAB">
            <w:pPr>
              <w:spacing w:line="400" w:lineRule="exact"/>
              <w:jc w:val="left"/>
              <w:rPr>
                <w:rFonts w:ascii="宋体"/>
                <w:szCs w:val="21"/>
                <w:highlight w:val="none"/>
              </w:rPr>
            </w:pPr>
            <w:r>
              <w:rPr>
                <w:rFonts w:hint="eastAsia" w:ascii="宋体" w:hAnsi="宋体"/>
                <w:szCs w:val="21"/>
                <w:highlight w:val="none"/>
              </w:rPr>
              <w:t>法定代表人或其</w:t>
            </w:r>
          </w:p>
          <w:p w14:paraId="68E330BF">
            <w:pPr>
              <w:spacing w:line="400" w:lineRule="exact"/>
              <w:jc w:val="left"/>
              <w:rPr>
                <w:rFonts w:ascii="宋体"/>
                <w:szCs w:val="21"/>
                <w:highlight w:val="none"/>
              </w:rPr>
            </w:pPr>
            <w:r>
              <w:rPr>
                <w:rFonts w:hint="eastAsia" w:ascii="宋体" w:hAnsi="宋体"/>
                <w:szCs w:val="21"/>
                <w:highlight w:val="none"/>
              </w:rPr>
              <w:t>授权人：（签章）</w:t>
            </w:r>
          </w:p>
        </w:tc>
        <w:tc>
          <w:tcPr>
            <w:tcW w:w="3542" w:type="dxa"/>
          </w:tcPr>
          <w:p w14:paraId="6ED1F01E">
            <w:pPr>
              <w:spacing w:line="400" w:lineRule="exact"/>
              <w:jc w:val="left"/>
              <w:rPr>
                <w:rFonts w:ascii="宋体"/>
                <w:szCs w:val="21"/>
                <w:highlight w:val="none"/>
              </w:rPr>
            </w:pPr>
            <w:r>
              <w:rPr>
                <w:rFonts w:hint="eastAsia" w:ascii="宋体" w:hAnsi="宋体"/>
                <w:szCs w:val="21"/>
                <w:highlight w:val="none"/>
              </w:rPr>
              <w:t>法定代表人或其</w:t>
            </w:r>
          </w:p>
          <w:p w14:paraId="06F59BD9">
            <w:pPr>
              <w:spacing w:line="400" w:lineRule="exact"/>
              <w:jc w:val="left"/>
              <w:rPr>
                <w:rFonts w:ascii="宋体"/>
                <w:szCs w:val="21"/>
                <w:highlight w:val="none"/>
              </w:rPr>
            </w:pPr>
            <w:r>
              <w:rPr>
                <w:rFonts w:hint="eastAsia" w:ascii="宋体" w:hAnsi="宋体"/>
                <w:szCs w:val="21"/>
                <w:highlight w:val="none"/>
              </w:rPr>
              <w:t>授权人：（签章）</w:t>
            </w:r>
          </w:p>
        </w:tc>
      </w:tr>
      <w:tr w14:paraId="67BC237F">
        <w:tblPrEx>
          <w:tblCellMar>
            <w:top w:w="0" w:type="dxa"/>
            <w:left w:w="108" w:type="dxa"/>
            <w:bottom w:w="0" w:type="dxa"/>
            <w:right w:w="108" w:type="dxa"/>
          </w:tblCellMar>
        </w:tblPrEx>
        <w:trPr>
          <w:trHeight w:val="476" w:hRule="atLeast"/>
          <w:jc w:val="center"/>
        </w:trPr>
        <w:tc>
          <w:tcPr>
            <w:tcW w:w="4680" w:type="dxa"/>
          </w:tcPr>
          <w:p w14:paraId="20BCAC22">
            <w:pPr>
              <w:spacing w:line="400" w:lineRule="exact"/>
              <w:jc w:val="left"/>
              <w:rPr>
                <w:rFonts w:ascii="宋体"/>
                <w:szCs w:val="21"/>
                <w:highlight w:val="none"/>
              </w:rPr>
            </w:pPr>
            <w:r>
              <w:rPr>
                <w:rFonts w:hint="eastAsia" w:ascii="宋体" w:hAnsi="宋体"/>
                <w:szCs w:val="21"/>
                <w:highlight w:val="none"/>
              </w:rPr>
              <w:t>开户银行：</w:t>
            </w:r>
          </w:p>
        </w:tc>
        <w:tc>
          <w:tcPr>
            <w:tcW w:w="3542" w:type="dxa"/>
          </w:tcPr>
          <w:p w14:paraId="012446C8">
            <w:pPr>
              <w:spacing w:line="400" w:lineRule="exact"/>
              <w:jc w:val="left"/>
              <w:rPr>
                <w:rFonts w:ascii="宋体"/>
                <w:szCs w:val="21"/>
                <w:highlight w:val="none"/>
              </w:rPr>
            </w:pPr>
            <w:r>
              <w:rPr>
                <w:rFonts w:hint="eastAsia" w:ascii="宋体" w:hAnsi="宋体"/>
                <w:szCs w:val="21"/>
                <w:highlight w:val="none"/>
              </w:rPr>
              <w:t>开户银行：</w:t>
            </w:r>
          </w:p>
        </w:tc>
      </w:tr>
      <w:tr w14:paraId="114543D4">
        <w:tblPrEx>
          <w:tblCellMar>
            <w:top w:w="0" w:type="dxa"/>
            <w:left w:w="108" w:type="dxa"/>
            <w:bottom w:w="0" w:type="dxa"/>
            <w:right w:w="108" w:type="dxa"/>
          </w:tblCellMar>
        </w:tblPrEx>
        <w:trPr>
          <w:trHeight w:val="476" w:hRule="atLeast"/>
          <w:jc w:val="center"/>
        </w:trPr>
        <w:tc>
          <w:tcPr>
            <w:tcW w:w="4680" w:type="dxa"/>
          </w:tcPr>
          <w:p w14:paraId="37AAABDC">
            <w:pPr>
              <w:spacing w:line="400" w:lineRule="exact"/>
              <w:jc w:val="left"/>
              <w:rPr>
                <w:rFonts w:ascii="宋体"/>
                <w:szCs w:val="21"/>
                <w:highlight w:val="none"/>
              </w:rPr>
            </w:pPr>
            <w:r>
              <w:rPr>
                <w:rFonts w:hint="eastAsia" w:ascii="宋体" w:hAnsi="宋体"/>
                <w:szCs w:val="21"/>
                <w:highlight w:val="none"/>
              </w:rPr>
              <w:t>账号：</w:t>
            </w:r>
          </w:p>
        </w:tc>
        <w:tc>
          <w:tcPr>
            <w:tcW w:w="3542" w:type="dxa"/>
          </w:tcPr>
          <w:p w14:paraId="298FEB5E">
            <w:pPr>
              <w:spacing w:line="400" w:lineRule="exact"/>
              <w:jc w:val="left"/>
              <w:rPr>
                <w:rFonts w:ascii="宋体"/>
                <w:szCs w:val="21"/>
                <w:highlight w:val="none"/>
              </w:rPr>
            </w:pPr>
            <w:r>
              <w:rPr>
                <w:rFonts w:hint="eastAsia" w:ascii="宋体" w:hAnsi="宋体"/>
                <w:szCs w:val="21"/>
                <w:highlight w:val="none"/>
              </w:rPr>
              <w:t>账号：</w:t>
            </w:r>
          </w:p>
        </w:tc>
      </w:tr>
      <w:tr w14:paraId="5D59C054">
        <w:tblPrEx>
          <w:tblCellMar>
            <w:top w:w="0" w:type="dxa"/>
            <w:left w:w="108" w:type="dxa"/>
            <w:bottom w:w="0" w:type="dxa"/>
            <w:right w:w="108" w:type="dxa"/>
          </w:tblCellMar>
        </w:tblPrEx>
        <w:trPr>
          <w:trHeight w:val="476" w:hRule="atLeast"/>
          <w:jc w:val="center"/>
        </w:trPr>
        <w:tc>
          <w:tcPr>
            <w:tcW w:w="4680" w:type="dxa"/>
          </w:tcPr>
          <w:p w14:paraId="2947C4DA">
            <w:pPr>
              <w:spacing w:line="400" w:lineRule="exact"/>
              <w:jc w:val="left"/>
              <w:rPr>
                <w:rFonts w:ascii="宋体"/>
                <w:szCs w:val="21"/>
                <w:highlight w:val="none"/>
              </w:rPr>
            </w:pPr>
            <w:r>
              <w:rPr>
                <w:rFonts w:hint="eastAsia" w:ascii="宋体" w:hAnsi="宋体"/>
                <w:szCs w:val="21"/>
                <w:highlight w:val="none"/>
              </w:rPr>
              <w:t>电话：</w:t>
            </w:r>
          </w:p>
        </w:tc>
        <w:tc>
          <w:tcPr>
            <w:tcW w:w="3542" w:type="dxa"/>
          </w:tcPr>
          <w:p w14:paraId="4157B8CF">
            <w:pPr>
              <w:spacing w:line="400" w:lineRule="exact"/>
              <w:jc w:val="left"/>
              <w:rPr>
                <w:rFonts w:ascii="宋体"/>
                <w:szCs w:val="21"/>
                <w:highlight w:val="none"/>
              </w:rPr>
            </w:pPr>
            <w:r>
              <w:rPr>
                <w:rFonts w:hint="eastAsia" w:ascii="宋体" w:hAnsi="宋体"/>
                <w:szCs w:val="21"/>
                <w:highlight w:val="none"/>
              </w:rPr>
              <w:t>电话：</w:t>
            </w:r>
          </w:p>
        </w:tc>
      </w:tr>
      <w:tr w14:paraId="2E2277F1">
        <w:tblPrEx>
          <w:tblCellMar>
            <w:top w:w="0" w:type="dxa"/>
            <w:left w:w="108" w:type="dxa"/>
            <w:bottom w:w="0" w:type="dxa"/>
            <w:right w:w="108" w:type="dxa"/>
          </w:tblCellMar>
        </w:tblPrEx>
        <w:trPr>
          <w:trHeight w:val="476" w:hRule="atLeast"/>
          <w:jc w:val="center"/>
        </w:trPr>
        <w:tc>
          <w:tcPr>
            <w:tcW w:w="4680" w:type="dxa"/>
          </w:tcPr>
          <w:p w14:paraId="57343C44">
            <w:pPr>
              <w:spacing w:line="400" w:lineRule="exact"/>
              <w:jc w:val="left"/>
              <w:rPr>
                <w:rFonts w:ascii="宋体"/>
                <w:szCs w:val="21"/>
                <w:highlight w:val="none"/>
              </w:rPr>
            </w:pPr>
            <w:r>
              <w:rPr>
                <w:rFonts w:hint="eastAsia" w:ascii="宋体" w:hAnsi="宋体"/>
                <w:szCs w:val="21"/>
                <w:highlight w:val="none"/>
              </w:rPr>
              <w:t>传真：</w:t>
            </w:r>
          </w:p>
        </w:tc>
        <w:tc>
          <w:tcPr>
            <w:tcW w:w="3542" w:type="dxa"/>
          </w:tcPr>
          <w:p w14:paraId="09F8F02C">
            <w:pPr>
              <w:spacing w:line="400" w:lineRule="exact"/>
              <w:jc w:val="left"/>
              <w:rPr>
                <w:rFonts w:ascii="宋体"/>
                <w:szCs w:val="21"/>
                <w:highlight w:val="none"/>
              </w:rPr>
            </w:pPr>
            <w:r>
              <w:rPr>
                <w:rFonts w:hint="eastAsia" w:ascii="宋体" w:hAnsi="宋体"/>
                <w:szCs w:val="21"/>
                <w:highlight w:val="none"/>
              </w:rPr>
              <w:t>传真：</w:t>
            </w:r>
          </w:p>
        </w:tc>
      </w:tr>
    </w:tbl>
    <w:p w14:paraId="7B60159D">
      <w:pPr>
        <w:spacing w:line="360" w:lineRule="auto"/>
        <w:jc w:val="center"/>
        <w:outlineLvl w:val="1"/>
        <w:rPr>
          <w:rFonts w:ascii="宋体" w:cs="黑体"/>
          <w:b/>
          <w:sz w:val="32"/>
          <w:highlight w:val="none"/>
        </w:rPr>
      </w:pPr>
      <w:r>
        <w:rPr>
          <w:rFonts w:ascii="宋体"/>
          <w:sz w:val="24"/>
          <w:highlight w:val="none"/>
        </w:rPr>
        <w:br w:type="page"/>
      </w:r>
      <w:bookmarkStart w:id="240" w:name="_Toc527955003"/>
      <w:r>
        <w:rPr>
          <w:rFonts w:hint="eastAsia" w:ascii="宋体" w:hAnsi="宋体" w:cs="黑体"/>
          <w:b/>
          <w:sz w:val="32"/>
          <w:highlight w:val="none"/>
        </w:rPr>
        <w:t>第二部分</w:t>
      </w:r>
      <w:r>
        <w:rPr>
          <w:rFonts w:ascii="宋体" w:hAnsi="宋体" w:cs="黑体"/>
          <w:b/>
          <w:sz w:val="32"/>
          <w:highlight w:val="none"/>
        </w:rPr>
        <w:t xml:space="preserve"> </w:t>
      </w:r>
      <w:r>
        <w:rPr>
          <w:rFonts w:hint="eastAsia" w:ascii="宋体" w:hAnsi="宋体" w:cs="黑体"/>
          <w:b/>
          <w:sz w:val="32"/>
          <w:highlight w:val="none"/>
        </w:rPr>
        <w:t>通用条件</w:t>
      </w:r>
      <w:bookmarkEnd w:id="240"/>
    </w:p>
    <w:p w14:paraId="5C8D1B86">
      <w:pPr>
        <w:pStyle w:val="5"/>
        <w:spacing w:line="360" w:lineRule="exact"/>
        <w:jc w:val="left"/>
        <w:rPr>
          <w:sz w:val="24"/>
          <w:szCs w:val="24"/>
          <w:highlight w:val="none"/>
        </w:rPr>
      </w:pPr>
      <w:bookmarkStart w:id="241" w:name="_Toc531850341"/>
      <w:bookmarkStart w:id="242" w:name="_Toc509302648"/>
      <w:bookmarkStart w:id="243" w:name="_Toc478380027"/>
      <w:bookmarkStart w:id="244" w:name="_Toc532553121"/>
      <w:bookmarkStart w:id="245" w:name="_Toc478373423"/>
      <w:bookmarkStart w:id="246" w:name="_Toc532553047"/>
      <w:r>
        <w:rPr>
          <w:sz w:val="24"/>
          <w:szCs w:val="24"/>
          <w:highlight w:val="none"/>
        </w:rPr>
        <w:t xml:space="preserve">1. </w:t>
      </w:r>
      <w:r>
        <w:rPr>
          <w:rFonts w:hint="eastAsia"/>
          <w:sz w:val="24"/>
          <w:szCs w:val="24"/>
          <w:highlight w:val="none"/>
        </w:rPr>
        <w:t>定义与解释</w:t>
      </w:r>
      <w:bookmarkEnd w:id="241"/>
      <w:bookmarkEnd w:id="242"/>
      <w:bookmarkEnd w:id="243"/>
      <w:bookmarkEnd w:id="244"/>
      <w:bookmarkEnd w:id="245"/>
      <w:bookmarkEnd w:id="246"/>
    </w:p>
    <w:p w14:paraId="2C65C96F">
      <w:pPr>
        <w:spacing w:line="360" w:lineRule="auto"/>
        <w:ind w:left="210" w:leftChars="100"/>
        <w:jc w:val="left"/>
        <w:rPr>
          <w:rFonts w:cs="宋体"/>
          <w:bCs/>
          <w:szCs w:val="21"/>
          <w:highlight w:val="none"/>
        </w:rPr>
      </w:pPr>
      <w:r>
        <w:rPr>
          <w:rFonts w:cs="宋体"/>
          <w:szCs w:val="21"/>
          <w:highlight w:val="none"/>
        </w:rPr>
        <w:t xml:space="preserve">1.1 </w:t>
      </w:r>
      <w:r>
        <w:rPr>
          <w:rFonts w:hint="eastAsia" w:hAnsi="宋体" w:cs="宋体"/>
          <w:bCs/>
          <w:szCs w:val="21"/>
          <w:highlight w:val="none"/>
        </w:rPr>
        <w:t>定义</w:t>
      </w:r>
    </w:p>
    <w:p w14:paraId="57ED746D">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除根据上下文另有其意义外，组成本合同的全部文件中的下列名词和用语应具有本款所赋予的含义：</w:t>
      </w:r>
    </w:p>
    <w:p w14:paraId="4B984FEA">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 </w:t>
      </w:r>
      <w:r>
        <w:rPr>
          <w:rFonts w:hint="eastAsia" w:cs="宋体"/>
          <w:szCs w:val="21"/>
          <w:highlight w:val="none"/>
        </w:rPr>
        <w:t>“</w:t>
      </w:r>
      <w:r>
        <w:rPr>
          <w:rFonts w:hint="eastAsia" w:hAnsi="宋体" w:cs="宋体"/>
          <w:szCs w:val="21"/>
          <w:highlight w:val="none"/>
        </w:rPr>
        <w:t>工程</w:t>
      </w:r>
      <w:r>
        <w:rPr>
          <w:rFonts w:hint="eastAsia" w:cs="宋体"/>
          <w:szCs w:val="21"/>
          <w:highlight w:val="none"/>
        </w:rPr>
        <w:t>”</w:t>
      </w:r>
      <w:r>
        <w:rPr>
          <w:rFonts w:hint="eastAsia" w:hAnsi="宋体" w:cs="宋体"/>
          <w:szCs w:val="21"/>
          <w:highlight w:val="none"/>
        </w:rPr>
        <w:t>是指按照本合同约定实施全过程工程咨询的建设工程。</w:t>
      </w:r>
    </w:p>
    <w:p w14:paraId="2D3EA770">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1.1.2 </w:t>
      </w:r>
      <w:r>
        <w:rPr>
          <w:rFonts w:hint="eastAsia" w:cs="宋体"/>
          <w:szCs w:val="21"/>
          <w:highlight w:val="none"/>
        </w:rPr>
        <w:t>“</w:t>
      </w:r>
      <w:r>
        <w:rPr>
          <w:rFonts w:hint="eastAsia" w:hAnsi="宋体" w:cs="宋体"/>
          <w:szCs w:val="21"/>
          <w:highlight w:val="none"/>
        </w:rPr>
        <w:t>委托人</w:t>
      </w:r>
      <w:r>
        <w:rPr>
          <w:rFonts w:hint="eastAsia" w:cs="宋体"/>
          <w:szCs w:val="21"/>
          <w:highlight w:val="none"/>
        </w:rPr>
        <w:t>”</w:t>
      </w:r>
      <w:r>
        <w:rPr>
          <w:rFonts w:hint="eastAsia" w:hAnsi="宋体" w:cs="宋体"/>
          <w:szCs w:val="21"/>
          <w:highlight w:val="none"/>
        </w:rPr>
        <w:t>是指本合同中委托全过程工程咨询的一方，及其合法的继承人。</w:t>
      </w:r>
    </w:p>
    <w:p w14:paraId="57AA4EF3">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1.1.3 </w:t>
      </w:r>
      <w:r>
        <w:rPr>
          <w:rFonts w:hint="eastAsia" w:cs="宋体"/>
          <w:szCs w:val="21"/>
          <w:highlight w:val="none"/>
        </w:rPr>
        <w:t>“</w:t>
      </w:r>
      <w:r>
        <w:rPr>
          <w:rFonts w:hint="eastAsia" w:hAnsi="宋体" w:cs="宋体"/>
          <w:szCs w:val="21"/>
          <w:highlight w:val="none"/>
        </w:rPr>
        <w:t>受托人</w:t>
      </w:r>
      <w:r>
        <w:rPr>
          <w:rFonts w:hint="eastAsia" w:cs="宋体"/>
          <w:szCs w:val="21"/>
          <w:highlight w:val="none"/>
        </w:rPr>
        <w:t>”</w:t>
      </w:r>
      <w:r>
        <w:rPr>
          <w:rFonts w:hint="eastAsia" w:hAnsi="宋体"/>
          <w:szCs w:val="21"/>
          <w:highlight w:val="none"/>
        </w:rPr>
        <w:t>指本合同中提供全过程工程咨询的一方，包括其合法继承人。</w:t>
      </w:r>
    </w:p>
    <w:p w14:paraId="3BA3A342">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1.1.4 </w:t>
      </w:r>
      <w:r>
        <w:rPr>
          <w:rFonts w:hint="eastAsia" w:cs="宋体"/>
          <w:szCs w:val="21"/>
          <w:highlight w:val="none"/>
        </w:rPr>
        <w:t>“</w:t>
      </w:r>
      <w:r>
        <w:rPr>
          <w:rFonts w:hint="eastAsia" w:hAnsi="宋体" w:cs="宋体"/>
          <w:szCs w:val="21"/>
          <w:highlight w:val="none"/>
        </w:rPr>
        <w:t>其他参建方</w:t>
      </w:r>
      <w:r>
        <w:rPr>
          <w:rFonts w:hint="eastAsia" w:cs="宋体"/>
          <w:szCs w:val="21"/>
          <w:highlight w:val="none"/>
        </w:rPr>
        <w:t>”</w:t>
      </w:r>
      <w:r>
        <w:rPr>
          <w:rFonts w:hint="eastAsia" w:hAnsi="宋体" w:cs="宋体"/>
          <w:szCs w:val="21"/>
          <w:highlight w:val="none"/>
        </w:rPr>
        <w:t>是指在工程范围内与委托人签订</w:t>
      </w:r>
      <w:r>
        <w:rPr>
          <w:rFonts w:hint="eastAsia" w:hAnsi="宋体"/>
          <w:szCs w:val="21"/>
          <w:highlight w:val="none"/>
        </w:rPr>
        <w:t>拆迁、</w:t>
      </w:r>
      <w:r>
        <w:rPr>
          <w:rFonts w:hint="eastAsia" w:hAnsi="宋体" w:cs="宋体"/>
          <w:szCs w:val="21"/>
          <w:highlight w:val="none"/>
        </w:rPr>
        <w:t>勘察、专业设计、施工、材料和设备供应及安装、试验检测、专业咨询与服务等有关合同的当事人，及其合法的继承人。</w:t>
      </w:r>
    </w:p>
    <w:p w14:paraId="0FBAF2CC">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1.1.5 </w:t>
      </w:r>
      <w:r>
        <w:rPr>
          <w:rFonts w:hint="eastAsia" w:cs="宋体"/>
          <w:szCs w:val="21"/>
          <w:highlight w:val="none"/>
        </w:rPr>
        <w:t>“</w:t>
      </w:r>
      <w:r>
        <w:rPr>
          <w:rFonts w:hint="eastAsia" w:hAnsi="宋体" w:cs="宋体"/>
          <w:szCs w:val="21"/>
          <w:highlight w:val="none"/>
        </w:rPr>
        <w:t>正常工作</w:t>
      </w:r>
      <w:r>
        <w:rPr>
          <w:rFonts w:hint="eastAsia" w:cs="宋体"/>
          <w:szCs w:val="21"/>
          <w:highlight w:val="none"/>
        </w:rPr>
        <w:t>”</w:t>
      </w:r>
      <w:r>
        <w:rPr>
          <w:rFonts w:hint="eastAsia" w:hAnsi="宋体" w:cs="宋体"/>
          <w:szCs w:val="21"/>
          <w:highlight w:val="none"/>
        </w:rPr>
        <w:t>指本合同订立时通用条件和专用条件中约定的受托人的工作。</w:t>
      </w:r>
    </w:p>
    <w:p w14:paraId="12012B18">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1.1.6 </w:t>
      </w:r>
      <w:r>
        <w:rPr>
          <w:rFonts w:hint="eastAsia" w:cs="宋体"/>
          <w:szCs w:val="21"/>
          <w:highlight w:val="none"/>
        </w:rPr>
        <w:t>“</w:t>
      </w:r>
      <w:r>
        <w:rPr>
          <w:rFonts w:hint="eastAsia" w:hAnsi="宋体" w:cs="宋体"/>
          <w:szCs w:val="21"/>
          <w:highlight w:val="none"/>
        </w:rPr>
        <w:t>附加工作</w:t>
      </w:r>
      <w:r>
        <w:rPr>
          <w:rFonts w:hint="eastAsia" w:cs="宋体"/>
          <w:szCs w:val="21"/>
          <w:highlight w:val="none"/>
        </w:rPr>
        <w:t>”</w:t>
      </w:r>
      <w:r>
        <w:rPr>
          <w:rFonts w:hint="eastAsia" w:hAnsi="宋体" w:cs="宋体"/>
          <w:szCs w:val="21"/>
          <w:highlight w:val="none"/>
        </w:rPr>
        <w:t>是指本合同约定的正常工作以外受托人的工作。</w:t>
      </w:r>
    </w:p>
    <w:p w14:paraId="51DEE6EC">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1.1.7 </w:t>
      </w:r>
      <w:r>
        <w:rPr>
          <w:rFonts w:hint="eastAsia" w:cs="宋体"/>
          <w:szCs w:val="21"/>
          <w:highlight w:val="none"/>
        </w:rPr>
        <w:t>“</w:t>
      </w:r>
      <w:r>
        <w:rPr>
          <w:rFonts w:hint="eastAsia" w:hAnsi="宋体" w:cs="宋体"/>
          <w:szCs w:val="21"/>
          <w:highlight w:val="none"/>
        </w:rPr>
        <w:t>全过程工程咨询机构</w:t>
      </w:r>
      <w:r>
        <w:rPr>
          <w:rFonts w:hint="eastAsia" w:cs="宋体"/>
          <w:szCs w:val="21"/>
          <w:highlight w:val="none"/>
        </w:rPr>
        <w:t>”</w:t>
      </w:r>
      <w:r>
        <w:rPr>
          <w:rFonts w:hint="eastAsia" w:hAnsi="宋体" w:cs="宋体"/>
          <w:szCs w:val="21"/>
          <w:highlight w:val="none"/>
        </w:rPr>
        <w:t>是指受托人派驻工程负责履行本合同的组织机构。</w:t>
      </w:r>
    </w:p>
    <w:p w14:paraId="6F4DD634">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1.1.8 </w:t>
      </w:r>
      <w:r>
        <w:rPr>
          <w:rFonts w:hint="eastAsia" w:cs="宋体"/>
          <w:szCs w:val="21"/>
          <w:highlight w:val="none"/>
        </w:rPr>
        <w:t>“</w:t>
      </w:r>
      <w:r>
        <w:rPr>
          <w:rFonts w:hint="eastAsia" w:hAnsi="宋体" w:cs="宋体"/>
          <w:szCs w:val="21"/>
          <w:highlight w:val="none"/>
        </w:rPr>
        <w:t>全过程工程咨询项目总负责人</w:t>
      </w:r>
      <w:r>
        <w:rPr>
          <w:rFonts w:hint="eastAsia" w:cs="宋体"/>
          <w:szCs w:val="21"/>
          <w:highlight w:val="none"/>
        </w:rPr>
        <w:t>”</w:t>
      </w:r>
      <w:r>
        <w:rPr>
          <w:rFonts w:hint="eastAsia" w:hAnsi="宋体" w:cs="宋体"/>
          <w:szCs w:val="21"/>
          <w:highlight w:val="none"/>
        </w:rPr>
        <w:t>是指由受托人的法定代表人书面授权，全面负责履行本合同、主持全过程工程咨询机构工作的人员。</w:t>
      </w:r>
    </w:p>
    <w:p w14:paraId="181F8D5E">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1.1.9 </w:t>
      </w:r>
      <w:r>
        <w:rPr>
          <w:rFonts w:hint="eastAsia" w:cs="宋体"/>
          <w:szCs w:val="21"/>
          <w:highlight w:val="none"/>
        </w:rPr>
        <w:t>“</w:t>
      </w:r>
      <w:r>
        <w:rPr>
          <w:rFonts w:hint="eastAsia" w:hAnsi="宋体" w:cs="宋体"/>
          <w:szCs w:val="21"/>
          <w:highlight w:val="none"/>
        </w:rPr>
        <w:t>酬金</w:t>
      </w:r>
      <w:r>
        <w:rPr>
          <w:rFonts w:hint="eastAsia" w:cs="宋体"/>
          <w:szCs w:val="21"/>
          <w:highlight w:val="none"/>
        </w:rPr>
        <w:t>”</w:t>
      </w:r>
      <w:r>
        <w:rPr>
          <w:rFonts w:hint="eastAsia" w:hAnsi="宋体" w:cs="宋体"/>
          <w:szCs w:val="21"/>
          <w:highlight w:val="none"/>
        </w:rPr>
        <w:t>是指受托人履行本合同义务，委托人按照本合同约定给付受托人的金额。</w:t>
      </w:r>
    </w:p>
    <w:p w14:paraId="0D7F0806">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1.1.10 </w:t>
      </w:r>
      <w:r>
        <w:rPr>
          <w:rFonts w:hint="eastAsia" w:cs="宋体"/>
          <w:szCs w:val="21"/>
          <w:highlight w:val="none"/>
        </w:rPr>
        <w:t>“</w:t>
      </w:r>
      <w:r>
        <w:rPr>
          <w:rFonts w:hint="eastAsia" w:hAnsi="宋体" w:cs="宋体"/>
          <w:szCs w:val="21"/>
          <w:highlight w:val="none"/>
        </w:rPr>
        <w:t>正常工作</w:t>
      </w:r>
      <w:r>
        <w:rPr>
          <w:rFonts w:hint="eastAsia" w:hAnsi="宋体" w:cs="宋体"/>
          <w:kern w:val="0"/>
          <w:szCs w:val="21"/>
          <w:highlight w:val="none"/>
        </w:rPr>
        <w:t>酬金</w:t>
      </w:r>
      <w:r>
        <w:rPr>
          <w:rFonts w:hint="eastAsia" w:cs="宋体"/>
          <w:kern w:val="0"/>
          <w:szCs w:val="21"/>
          <w:highlight w:val="none"/>
        </w:rPr>
        <w:t>”</w:t>
      </w:r>
      <w:r>
        <w:rPr>
          <w:rFonts w:hint="eastAsia" w:hAnsi="宋体" w:cs="宋体"/>
          <w:szCs w:val="21"/>
          <w:highlight w:val="none"/>
        </w:rPr>
        <w:t>是指受托人完成正常工作，委托人应给付受托人并在协议书中载明的签约</w:t>
      </w:r>
      <w:r>
        <w:rPr>
          <w:rFonts w:hint="eastAsia" w:hAnsi="宋体" w:cs="宋体"/>
          <w:kern w:val="0"/>
          <w:szCs w:val="21"/>
          <w:highlight w:val="none"/>
        </w:rPr>
        <w:t>酬金额</w:t>
      </w:r>
      <w:r>
        <w:rPr>
          <w:rFonts w:hint="eastAsia" w:hAnsi="宋体" w:cs="宋体"/>
          <w:szCs w:val="21"/>
          <w:highlight w:val="none"/>
        </w:rPr>
        <w:t>。</w:t>
      </w:r>
    </w:p>
    <w:p w14:paraId="5D637C7C">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1.1.11 </w:t>
      </w:r>
      <w:r>
        <w:rPr>
          <w:rFonts w:hint="eastAsia" w:cs="宋体"/>
          <w:szCs w:val="21"/>
          <w:highlight w:val="none"/>
        </w:rPr>
        <w:t>“</w:t>
      </w:r>
      <w:r>
        <w:rPr>
          <w:rFonts w:hint="eastAsia" w:hAnsi="宋体" w:cs="宋体"/>
          <w:szCs w:val="21"/>
          <w:highlight w:val="none"/>
        </w:rPr>
        <w:t>附加工作酬金</w:t>
      </w:r>
      <w:r>
        <w:rPr>
          <w:rFonts w:hint="eastAsia" w:cs="宋体"/>
          <w:szCs w:val="21"/>
          <w:highlight w:val="none"/>
        </w:rPr>
        <w:t>”</w:t>
      </w:r>
      <w:r>
        <w:rPr>
          <w:rFonts w:hint="eastAsia" w:hAnsi="宋体" w:cs="宋体"/>
          <w:szCs w:val="21"/>
          <w:highlight w:val="none"/>
        </w:rPr>
        <w:t>是指受托人完成附加工作，委托人应给付受托人的金额。</w:t>
      </w:r>
    </w:p>
    <w:p w14:paraId="4CAB84A0">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1.1.12 </w:t>
      </w:r>
      <w:r>
        <w:rPr>
          <w:rFonts w:hint="eastAsia" w:cs="宋体"/>
          <w:szCs w:val="21"/>
          <w:highlight w:val="none"/>
        </w:rPr>
        <w:t>“</w:t>
      </w:r>
      <w:r>
        <w:rPr>
          <w:rFonts w:hint="eastAsia" w:hAnsi="宋体" w:cs="宋体"/>
          <w:szCs w:val="21"/>
          <w:highlight w:val="none"/>
        </w:rPr>
        <w:t>一方</w:t>
      </w:r>
      <w:r>
        <w:rPr>
          <w:rFonts w:hint="eastAsia" w:cs="宋体"/>
          <w:szCs w:val="21"/>
          <w:highlight w:val="none"/>
        </w:rPr>
        <w:t>”</w:t>
      </w:r>
      <w:r>
        <w:rPr>
          <w:rFonts w:hint="eastAsia" w:hAnsi="宋体" w:cs="宋体"/>
          <w:szCs w:val="21"/>
          <w:highlight w:val="none"/>
        </w:rPr>
        <w:t>是指委托人或受托人；</w:t>
      </w:r>
      <w:r>
        <w:rPr>
          <w:rFonts w:hint="eastAsia" w:cs="宋体"/>
          <w:szCs w:val="21"/>
          <w:highlight w:val="none"/>
        </w:rPr>
        <w:t>“</w:t>
      </w:r>
      <w:r>
        <w:rPr>
          <w:rFonts w:hint="eastAsia" w:hAnsi="宋体" w:cs="宋体"/>
          <w:szCs w:val="21"/>
          <w:highlight w:val="none"/>
        </w:rPr>
        <w:t>双方</w:t>
      </w:r>
      <w:r>
        <w:rPr>
          <w:rFonts w:hint="eastAsia" w:cs="宋体"/>
          <w:szCs w:val="21"/>
          <w:highlight w:val="none"/>
        </w:rPr>
        <w:t>”</w:t>
      </w:r>
      <w:r>
        <w:rPr>
          <w:rFonts w:hint="eastAsia" w:hAnsi="宋体" w:cs="宋体"/>
          <w:szCs w:val="21"/>
          <w:highlight w:val="none"/>
        </w:rPr>
        <w:t>是指委托人和受托人；</w:t>
      </w:r>
      <w:r>
        <w:rPr>
          <w:rFonts w:hint="eastAsia" w:cs="宋体"/>
          <w:szCs w:val="21"/>
          <w:highlight w:val="none"/>
        </w:rPr>
        <w:t>“</w:t>
      </w:r>
      <w:r>
        <w:rPr>
          <w:rFonts w:hint="eastAsia" w:hAnsi="宋体" w:cs="宋体"/>
          <w:szCs w:val="21"/>
          <w:highlight w:val="none"/>
        </w:rPr>
        <w:t>第三方</w:t>
      </w:r>
      <w:r>
        <w:rPr>
          <w:rFonts w:hint="eastAsia" w:cs="宋体"/>
          <w:szCs w:val="21"/>
          <w:highlight w:val="none"/>
        </w:rPr>
        <w:t>”</w:t>
      </w:r>
      <w:r>
        <w:rPr>
          <w:rFonts w:hint="eastAsia" w:hAnsi="宋体" w:cs="宋体"/>
          <w:szCs w:val="21"/>
          <w:highlight w:val="none"/>
        </w:rPr>
        <w:t>是指除委托人和受托人以外的有关方。</w:t>
      </w:r>
    </w:p>
    <w:p w14:paraId="6B0BD752">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1.1.13 </w:t>
      </w:r>
      <w:r>
        <w:rPr>
          <w:rFonts w:hint="eastAsia" w:cs="宋体"/>
          <w:szCs w:val="21"/>
          <w:highlight w:val="none"/>
        </w:rPr>
        <w:t>“</w:t>
      </w:r>
      <w:r>
        <w:rPr>
          <w:rFonts w:hint="eastAsia" w:hAnsi="宋体" w:cs="宋体"/>
          <w:szCs w:val="21"/>
          <w:highlight w:val="none"/>
        </w:rPr>
        <w:t>书面形式</w:t>
      </w:r>
      <w:r>
        <w:rPr>
          <w:rFonts w:hint="eastAsia" w:cs="宋体"/>
          <w:szCs w:val="21"/>
          <w:highlight w:val="none"/>
        </w:rPr>
        <w:t>”</w:t>
      </w:r>
      <w:r>
        <w:rPr>
          <w:rFonts w:hint="eastAsia" w:hAnsi="宋体" w:cs="宋体"/>
          <w:szCs w:val="21"/>
          <w:highlight w:val="none"/>
        </w:rPr>
        <w:t>是指合同书、信件和数据电文（包括电报、电传、传真、电子数据交换和电子邮件）等可以有形地表现所载内容的形式。</w:t>
      </w:r>
    </w:p>
    <w:p w14:paraId="405065E4">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1.1.14 </w:t>
      </w:r>
      <w:r>
        <w:rPr>
          <w:rFonts w:hint="eastAsia" w:cs="宋体"/>
          <w:szCs w:val="21"/>
          <w:highlight w:val="none"/>
        </w:rPr>
        <w:t>“</w:t>
      </w:r>
      <w:r>
        <w:rPr>
          <w:rFonts w:hint="eastAsia" w:hAnsi="宋体" w:cs="宋体"/>
          <w:szCs w:val="21"/>
          <w:highlight w:val="none"/>
        </w:rPr>
        <w:t>天</w:t>
      </w:r>
      <w:r>
        <w:rPr>
          <w:rFonts w:hint="eastAsia" w:cs="宋体"/>
          <w:szCs w:val="21"/>
          <w:highlight w:val="none"/>
        </w:rPr>
        <w:t>”</w:t>
      </w:r>
      <w:r>
        <w:rPr>
          <w:rFonts w:hint="eastAsia" w:hAnsi="宋体" w:cs="宋体"/>
          <w:szCs w:val="21"/>
          <w:highlight w:val="none"/>
        </w:rPr>
        <w:t>是指第一天零时至第二天零时的时间。</w:t>
      </w:r>
    </w:p>
    <w:p w14:paraId="6761B477">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1.1.15 </w:t>
      </w:r>
      <w:r>
        <w:rPr>
          <w:rFonts w:hint="eastAsia" w:cs="宋体"/>
          <w:szCs w:val="21"/>
          <w:highlight w:val="none"/>
        </w:rPr>
        <w:t>“</w:t>
      </w:r>
      <w:r>
        <w:rPr>
          <w:rFonts w:hint="eastAsia" w:hAnsi="宋体" w:cs="宋体"/>
          <w:szCs w:val="21"/>
          <w:highlight w:val="none"/>
        </w:rPr>
        <w:t>月</w:t>
      </w:r>
      <w:r>
        <w:rPr>
          <w:rFonts w:hint="eastAsia" w:cs="宋体"/>
          <w:szCs w:val="21"/>
          <w:highlight w:val="none"/>
        </w:rPr>
        <w:t>”</w:t>
      </w:r>
      <w:r>
        <w:rPr>
          <w:rFonts w:hint="eastAsia" w:hAnsi="宋体" w:cs="宋体"/>
          <w:szCs w:val="21"/>
          <w:highlight w:val="none"/>
        </w:rPr>
        <w:t>是指按公历从一个月中任何一天开始的一个公历月时间。</w:t>
      </w:r>
    </w:p>
    <w:p w14:paraId="2A5534DD">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1.1.16 </w:t>
      </w:r>
      <w:r>
        <w:rPr>
          <w:rFonts w:hint="eastAsia" w:cs="宋体"/>
          <w:szCs w:val="21"/>
          <w:highlight w:val="none"/>
        </w:rPr>
        <w:t>“</w:t>
      </w:r>
      <w:r>
        <w:rPr>
          <w:rFonts w:hint="eastAsia" w:hAnsi="宋体" w:cs="宋体"/>
          <w:szCs w:val="21"/>
          <w:highlight w:val="none"/>
        </w:rPr>
        <w:t>不可抗力</w:t>
      </w:r>
      <w:r>
        <w:rPr>
          <w:rFonts w:hint="eastAsia" w:cs="宋体"/>
          <w:szCs w:val="21"/>
          <w:highlight w:val="none"/>
        </w:rPr>
        <w:t>”</w:t>
      </w:r>
      <w:r>
        <w:rPr>
          <w:rFonts w:hint="eastAsia" w:hAnsi="宋体" w:cs="宋体"/>
          <w:szCs w:val="21"/>
          <w:highlight w:val="none"/>
        </w:rPr>
        <w:t>是指委托人和受托人在订立本合同时不可预见，在工程施工过程中不可避免发生并不能克服的自然灾害和社会性突发事件，如地震、海啸、瘟疫、骚乱、戒严、暴动、战争和专用合同条款中约定的其他情形。</w:t>
      </w:r>
    </w:p>
    <w:p w14:paraId="21D9D0E3">
      <w:pPr>
        <w:adjustRightInd w:val="0"/>
        <w:snapToGrid w:val="0"/>
        <w:spacing w:line="360" w:lineRule="auto"/>
        <w:ind w:left="210" w:leftChars="100"/>
        <w:jc w:val="left"/>
        <w:rPr>
          <w:rFonts w:cs="宋体"/>
          <w:szCs w:val="21"/>
          <w:highlight w:val="none"/>
        </w:rPr>
      </w:pPr>
      <w:r>
        <w:rPr>
          <w:rFonts w:cs="宋体"/>
          <w:bCs/>
          <w:szCs w:val="21"/>
          <w:highlight w:val="none"/>
        </w:rPr>
        <w:t xml:space="preserve">1.2 </w:t>
      </w:r>
      <w:r>
        <w:rPr>
          <w:rFonts w:hint="eastAsia" w:hAnsi="宋体" w:cs="宋体"/>
          <w:szCs w:val="21"/>
          <w:highlight w:val="none"/>
        </w:rPr>
        <w:t>解释</w:t>
      </w:r>
    </w:p>
    <w:p w14:paraId="3C2F5CB2">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1.2.1</w:t>
      </w:r>
      <w:r>
        <w:rPr>
          <w:rFonts w:hint="eastAsia" w:hAnsi="宋体" w:cs="宋体"/>
          <w:szCs w:val="21"/>
          <w:highlight w:val="none"/>
        </w:rPr>
        <w:t>本合同使用中文书写、解释和说明。如专用条件约定使用两种及以上语言文字时，应以中文为准。</w:t>
      </w:r>
    </w:p>
    <w:p w14:paraId="0003F667">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 xml:space="preserve">1.2.2 </w:t>
      </w:r>
      <w:r>
        <w:rPr>
          <w:rFonts w:hint="eastAsia" w:hAnsi="宋体" w:cs="宋体"/>
          <w:szCs w:val="21"/>
          <w:highlight w:val="none"/>
        </w:rPr>
        <w:t>组成本合同的下列文件彼此应能相互解释、互为说明。除专用条件另有约定外，本合同文件的解释顺序如下：</w:t>
      </w:r>
    </w:p>
    <w:p w14:paraId="331089D0">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）协议书；</w:t>
      </w:r>
    </w:p>
    <w:p w14:paraId="1C83B37A">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）中标通知书（适用于招标工程）或委托书（适用于非招标工程）；</w:t>
      </w:r>
    </w:p>
    <w:p w14:paraId="0389187E">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3</w:t>
      </w:r>
      <w:r>
        <w:rPr>
          <w:rFonts w:hint="eastAsia" w:hAnsi="宋体" w:cs="宋体"/>
          <w:szCs w:val="21"/>
          <w:highlight w:val="none"/>
        </w:rPr>
        <w:t>）投标文件（适用于招标工程）或全过程工程咨询建议书（适用于非招标工程）；</w:t>
      </w:r>
    </w:p>
    <w:p w14:paraId="3D7D4858">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4</w:t>
      </w:r>
      <w:r>
        <w:rPr>
          <w:rFonts w:hint="eastAsia" w:hAnsi="宋体" w:cs="宋体"/>
          <w:szCs w:val="21"/>
          <w:highlight w:val="none"/>
        </w:rPr>
        <w:t>）技术要求及其附件；</w:t>
      </w:r>
    </w:p>
    <w:p w14:paraId="0A4D1A65">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5</w:t>
      </w:r>
      <w:r>
        <w:rPr>
          <w:rFonts w:hint="eastAsia" w:hAnsi="宋体" w:cs="宋体"/>
          <w:szCs w:val="21"/>
          <w:highlight w:val="none"/>
        </w:rPr>
        <w:t>）专用条件及其附录；</w:t>
      </w:r>
    </w:p>
    <w:p w14:paraId="4AFA5C53">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6</w:t>
      </w:r>
      <w:r>
        <w:rPr>
          <w:rFonts w:hint="eastAsia" w:hAnsi="宋体" w:cs="宋体"/>
          <w:szCs w:val="21"/>
          <w:highlight w:val="none"/>
        </w:rPr>
        <w:t>）通用条件。</w:t>
      </w:r>
    </w:p>
    <w:p w14:paraId="01B4A882">
      <w:pPr>
        <w:spacing w:line="360" w:lineRule="auto"/>
        <w:ind w:firstLine="420" w:firstLineChars="200"/>
        <w:jc w:val="left"/>
        <w:rPr>
          <w:rFonts w:cs="宋体"/>
          <w:b/>
          <w:szCs w:val="21"/>
          <w:highlight w:val="none"/>
        </w:rPr>
      </w:pPr>
      <w:r>
        <w:rPr>
          <w:rFonts w:hint="eastAsia" w:hAnsi="宋体" w:cs="宋体"/>
          <w:szCs w:val="21"/>
          <w:highlight w:val="none"/>
        </w:rPr>
        <w:t>双方签订的补充协议与其他文件发生矛盾或歧义时，属于同一类内容的文件，应以最新签署的为准。</w:t>
      </w:r>
    </w:p>
    <w:p w14:paraId="0AB13A3A">
      <w:pPr>
        <w:pStyle w:val="5"/>
        <w:spacing w:before="0" w:after="0" w:line="240" w:lineRule="auto"/>
        <w:jc w:val="left"/>
        <w:rPr>
          <w:sz w:val="24"/>
          <w:szCs w:val="24"/>
          <w:highlight w:val="none"/>
        </w:rPr>
      </w:pPr>
      <w:bookmarkStart w:id="247" w:name="_Toc532553048"/>
      <w:bookmarkStart w:id="248" w:name="_Toc478380028"/>
      <w:bookmarkStart w:id="249" w:name="_Toc532553122"/>
      <w:bookmarkStart w:id="250" w:name="_Toc509302649"/>
      <w:bookmarkStart w:id="251" w:name="_Toc478373424"/>
      <w:bookmarkStart w:id="252" w:name="_Toc531850342"/>
      <w:r>
        <w:rPr>
          <w:sz w:val="24"/>
          <w:szCs w:val="24"/>
          <w:highlight w:val="none"/>
        </w:rPr>
        <w:t xml:space="preserve">2. </w:t>
      </w:r>
      <w:r>
        <w:rPr>
          <w:rFonts w:hint="eastAsia"/>
          <w:sz w:val="24"/>
          <w:szCs w:val="24"/>
          <w:highlight w:val="none"/>
        </w:rPr>
        <w:t>受托人的义务</w:t>
      </w:r>
      <w:bookmarkEnd w:id="247"/>
      <w:bookmarkEnd w:id="248"/>
      <w:bookmarkEnd w:id="249"/>
      <w:bookmarkEnd w:id="250"/>
      <w:bookmarkEnd w:id="251"/>
      <w:bookmarkEnd w:id="252"/>
    </w:p>
    <w:p w14:paraId="4C1382FC">
      <w:pPr>
        <w:adjustRightInd w:val="0"/>
        <w:snapToGrid w:val="0"/>
        <w:spacing w:line="360" w:lineRule="auto"/>
        <w:ind w:left="210" w:leftChars="100"/>
        <w:jc w:val="left"/>
        <w:rPr>
          <w:rFonts w:cs="宋体"/>
          <w:szCs w:val="21"/>
          <w:highlight w:val="none"/>
        </w:rPr>
      </w:pPr>
      <w:r>
        <w:rPr>
          <w:rFonts w:cs="宋体"/>
          <w:szCs w:val="21"/>
          <w:highlight w:val="none"/>
        </w:rPr>
        <w:t xml:space="preserve">2.1 </w:t>
      </w:r>
      <w:r>
        <w:rPr>
          <w:rFonts w:hint="eastAsia" w:hAnsi="宋体" w:cs="宋体"/>
          <w:szCs w:val="21"/>
          <w:highlight w:val="none"/>
        </w:rPr>
        <w:t>全过程工程咨询的范围和工作内容在技术要求中约定。</w:t>
      </w:r>
    </w:p>
    <w:p w14:paraId="2394EC0F">
      <w:pPr>
        <w:adjustRightInd w:val="0"/>
        <w:snapToGrid w:val="0"/>
        <w:spacing w:line="360" w:lineRule="auto"/>
        <w:ind w:left="210" w:leftChars="100"/>
        <w:jc w:val="left"/>
        <w:rPr>
          <w:rFonts w:cs="宋体"/>
          <w:szCs w:val="21"/>
          <w:highlight w:val="none"/>
        </w:rPr>
      </w:pPr>
      <w:r>
        <w:rPr>
          <w:rFonts w:cs="宋体"/>
          <w:szCs w:val="21"/>
          <w:highlight w:val="none"/>
        </w:rPr>
        <w:t xml:space="preserve">2.2 </w:t>
      </w:r>
      <w:r>
        <w:rPr>
          <w:rFonts w:hint="eastAsia" w:hAnsi="宋体" w:cs="宋体"/>
          <w:szCs w:val="21"/>
          <w:highlight w:val="none"/>
        </w:rPr>
        <w:t>全过程工程咨询依据</w:t>
      </w:r>
    </w:p>
    <w:p w14:paraId="2330C2EF">
      <w:pPr>
        <w:tabs>
          <w:tab w:val="left" w:pos="6140"/>
        </w:tabs>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）双方根据工程的行业和地域特点，在专用条件中具体约定工作依据。</w:t>
      </w:r>
    </w:p>
    <w:p w14:paraId="20B3093E">
      <w:pPr>
        <w:tabs>
          <w:tab w:val="left" w:pos="6140"/>
        </w:tabs>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）委托人要求使用其他国家和地区技术标准的，应在专用条件中约定所使用技术标准的名称及提供方，并约定技术标准原文版、中译本的份数、时间及费用承担等事项。</w:t>
      </w:r>
    </w:p>
    <w:p w14:paraId="0F764EC4">
      <w:pPr>
        <w:adjustRightInd w:val="0"/>
        <w:snapToGrid w:val="0"/>
        <w:spacing w:line="360" w:lineRule="auto"/>
        <w:ind w:left="210" w:leftChars="100"/>
        <w:jc w:val="left"/>
        <w:rPr>
          <w:rFonts w:cs="宋体"/>
          <w:szCs w:val="21"/>
          <w:highlight w:val="none"/>
        </w:rPr>
      </w:pPr>
      <w:r>
        <w:rPr>
          <w:rFonts w:cs="宋体"/>
          <w:szCs w:val="21"/>
          <w:highlight w:val="none"/>
        </w:rPr>
        <w:t xml:space="preserve">2.3 </w:t>
      </w:r>
      <w:r>
        <w:rPr>
          <w:rFonts w:hint="eastAsia" w:hAnsi="宋体" w:cs="宋体"/>
          <w:szCs w:val="21"/>
          <w:highlight w:val="none"/>
        </w:rPr>
        <w:t>全过程工程咨询机构和人员</w:t>
      </w:r>
    </w:p>
    <w:p w14:paraId="48B8745E">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2.3.1</w:t>
      </w:r>
      <w:r>
        <w:rPr>
          <w:rFonts w:hint="eastAsia" w:hAnsi="宋体" w:cs="宋体"/>
          <w:szCs w:val="21"/>
          <w:highlight w:val="none"/>
        </w:rPr>
        <w:t>受托人应组建满足工作需要的全过程工程咨询机构，配备必要的办公与咨询服务所需的仪器设备。全过程工程咨询机构的主要人员应具有相应的资格条件。</w:t>
      </w:r>
    </w:p>
    <w:p w14:paraId="675518B5">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2.3.2</w:t>
      </w:r>
      <w:r>
        <w:rPr>
          <w:rFonts w:hint="eastAsia" w:hAnsi="宋体" w:cs="宋体"/>
          <w:szCs w:val="21"/>
          <w:highlight w:val="none"/>
        </w:rPr>
        <w:t>本合同履行过程中，全过程工程咨询项目总负责人及重要岗位受托人员应保持相对稳定，以保证全过程工程咨询工作正常进行。</w:t>
      </w:r>
    </w:p>
    <w:p w14:paraId="46A1BA6F">
      <w:pPr>
        <w:tabs>
          <w:tab w:val="left" w:pos="6140"/>
        </w:tabs>
        <w:adjustRightInd w:val="0"/>
        <w:snapToGrid w:val="0"/>
        <w:spacing w:line="360" w:lineRule="auto"/>
        <w:ind w:firstLine="420" w:firstLineChars="200"/>
        <w:jc w:val="left"/>
        <w:rPr>
          <w:rFonts w:cs="宋体"/>
          <w:kern w:val="0"/>
          <w:szCs w:val="21"/>
          <w:highlight w:val="none"/>
        </w:rPr>
      </w:pPr>
      <w:r>
        <w:rPr>
          <w:rFonts w:cs="宋体"/>
          <w:szCs w:val="21"/>
          <w:highlight w:val="none"/>
        </w:rPr>
        <w:t>2.3.3</w:t>
      </w:r>
      <w:r>
        <w:rPr>
          <w:rFonts w:hint="eastAsia" w:hAnsi="宋体" w:cs="宋体"/>
          <w:szCs w:val="21"/>
          <w:highlight w:val="none"/>
        </w:rPr>
        <w:t>受托人可根据工程进展和工作需要调整全过程工程咨询机构人员。受托人更换全过程工程咨询项目总负责人时，应提前</w:t>
      </w:r>
      <w:r>
        <w:rPr>
          <w:rFonts w:cs="宋体"/>
          <w:szCs w:val="21"/>
          <w:highlight w:val="none"/>
        </w:rPr>
        <w:t>7</w:t>
      </w:r>
      <w:r>
        <w:rPr>
          <w:rFonts w:hint="eastAsia" w:hAnsi="宋体" w:cs="宋体"/>
          <w:szCs w:val="21"/>
          <w:highlight w:val="none"/>
        </w:rPr>
        <w:t>天向委托人书面报告，经委托人同意后方可更换；</w:t>
      </w:r>
      <w:r>
        <w:rPr>
          <w:rFonts w:hint="eastAsia" w:hAnsi="宋体" w:cs="宋体"/>
          <w:kern w:val="0"/>
          <w:szCs w:val="21"/>
          <w:highlight w:val="none"/>
        </w:rPr>
        <w:t>受托人更换全过程工程咨询机构其他受托人员，应以相当资格与能力的人员替换，并通知委托人。</w:t>
      </w:r>
    </w:p>
    <w:p w14:paraId="457A16A1">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2.3.4 </w:t>
      </w:r>
      <w:r>
        <w:rPr>
          <w:rFonts w:hint="eastAsia" w:hAnsi="宋体" w:cs="宋体"/>
          <w:kern w:val="0"/>
          <w:szCs w:val="21"/>
          <w:highlight w:val="none"/>
        </w:rPr>
        <w:t>受托人应及时更换有下列情形之一的受托人员：</w:t>
      </w:r>
    </w:p>
    <w:p w14:paraId="77C30450">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1</w:t>
      </w:r>
      <w:r>
        <w:rPr>
          <w:rFonts w:hint="eastAsia" w:hAnsi="宋体" w:cs="宋体"/>
          <w:kern w:val="0"/>
          <w:szCs w:val="21"/>
          <w:highlight w:val="none"/>
        </w:rPr>
        <w:t>）严重过失行为的；</w:t>
      </w:r>
    </w:p>
    <w:p w14:paraId="0F896B80">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2</w:t>
      </w:r>
      <w:r>
        <w:rPr>
          <w:rFonts w:hint="eastAsia" w:hAnsi="宋体" w:cs="宋体"/>
          <w:kern w:val="0"/>
          <w:szCs w:val="21"/>
          <w:highlight w:val="none"/>
        </w:rPr>
        <w:t>）有违法行为不能履行职责的；</w:t>
      </w:r>
    </w:p>
    <w:p w14:paraId="25EDB97C">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3</w:t>
      </w:r>
      <w:r>
        <w:rPr>
          <w:rFonts w:hint="eastAsia" w:hAnsi="宋体" w:cs="宋体"/>
          <w:kern w:val="0"/>
          <w:szCs w:val="21"/>
          <w:highlight w:val="none"/>
        </w:rPr>
        <w:t>）涉嫌犯罪的；</w:t>
      </w:r>
    </w:p>
    <w:p w14:paraId="2BF1956D">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4</w:t>
      </w:r>
      <w:r>
        <w:rPr>
          <w:rFonts w:hint="eastAsia" w:hAnsi="宋体" w:cs="宋体"/>
          <w:kern w:val="0"/>
          <w:szCs w:val="21"/>
          <w:highlight w:val="none"/>
        </w:rPr>
        <w:t>）不能胜任岗位职责的；</w:t>
      </w:r>
    </w:p>
    <w:p w14:paraId="6DFE4618">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5</w:t>
      </w:r>
      <w:r>
        <w:rPr>
          <w:rFonts w:hint="eastAsia" w:hAnsi="宋体" w:cs="宋体"/>
          <w:kern w:val="0"/>
          <w:szCs w:val="21"/>
          <w:highlight w:val="none"/>
        </w:rPr>
        <w:t>）严重违反职业道德的；</w:t>
      </w:r>
    </w:p>
    <w:p w14:paraId="4ED3FC35">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6</w:t>
      </w:r>
      <w:r>
        <w:rPr>
          <w:rFonts w:hint="eastAsia" w:hAnsi="宋体" w:cs="宋体"/>
          <w:kern w:val="0"/>
          <w:szCs w:val="21"/>
          <w:highlight w:val="none"/>
        </w:rPr>
        <w:t>）专用条件约定的其他情形。</w:t>
      </w:r>
    </w:p>
    <w:p w14:paraId="357F4FE7">
      <w:pPr>
        <w:spacing w:line="360" w:lineRule="auto"/>
        <w:ind w:firstLine="420" w:firstLineChars="200"/>
        <w:jc w:val="left"/>
        <w:rPr>
          <w:rFonts w:cs="宋体"/>
          <w:kern w:val="0"/>
          <w:szCs w:val="21"/>
          <w:highlight w:val="none"/>
        </w:rPr>
      </w:pPr>
      <w:r>
        <w:rPr>
          <w:rFonts w:cs="宋体"/>
          <w:kern w:val="0"/>
          <w:szCs w:val="21"/>
          <w:highlight w:val="none"/>
        </w:rPr>
        <w:t xml:space="preserve">2.3.5 </w:t>
      </w:r>
      <w:r>
        <w:rPr>
          <w:rFonts w:hint="eastAsia" w:hAnsi="宋体" w:cs="宋体"/>
          <w:kern w:val="0"/>
          <w:szCs w:val="21"/>
          <w:highlight w:val="none"/>
        </w:rPr>
        <w:t>委托人可要求受托人更换不能胜任本职工作的全过程工程咨询机构人员。</w:t>
      </w:r>
    </w:p>
    <w:p w14:paraId="702911CE">
      <w:pPr>
        <w:spacing w:line="360" w:lineRule="auto"/>
        <w:ind w:firstLine="420" w:firstLineChars="200"/>
        <w:jc w:val="left"/>
        <w:rPr>
          <w:rFonts w:cs="宋体"/>
          <w:kern w:val="0"/>
          <w:szCs w:val="21"/>
          <w:highlight w:val="none"/>
        </w:rPr>
      </w:pPr>
    </w:p>
    <w:p w14:paraId="729CF136">
      <w:pPr>
        <w:spacing w:line="360" w:lineRule="auto"/>
        <w:ind w:left="210" w:leftChars="100"/>
        <w:jc w:val="left"/>
        <w:rPr>
          <w:rFonts w:cs="宋体"/>
          <w:kern w:val="0"/>
          <w:szCs w:val="21"/>
          <w:highlight w:val="none"/>
        </w:rPr>
      </w:pPr>
      <w:r>
        <w:rPr>
          <w:rFonts w:cs="宋体"/>
          <w:kern w:val="0"/>
          <w:szCs w:val="21"/>
          <w:highlight w:val="none"/>
        </w:rPr>
        <w:t xml:space="preserve">2.4 </w:t>
      </w:r>
      <w:r>
        <w:rPr>
          <w:rFonts w:hint="eastAsia" w:hAnsi="宋体" w:cs="宋体"/>
          <w:kern w:val="0"/>
          <w:szCs w:val="21"/>
          <w:highlight w:val="none"/>
        </w:rPr>
        <w:t>履行职责</w:t>
      </w:r>
    </w:p>
    <w:p w14:paraId="09DE9BAF">
      <w:pPr>
        <w:adjustRightInd w:val="0"/>
        <w:snapToGrid w:val="0"/>
        <w:spacing w:line="360" w:lineRule="auto"/>
        <w:ind w:firstLine="420" w:firstLineChars="200"/>
        <w:jc w:val="left"/>
        <w:rPr>
          <w:rFonts w:cs="宋体"/>
          <w:szCs w:val="21"/>
          <w:highlight w:val="none"/>
        </w:rPr>
      </w:pPr>
      <w:r>
        <w:rPr>
          <w:rFonts w:hint="eastAsia" w:hAnsi="宋体" w:cs="宋体"/>
          <w:kern w:val="0"/>
          <w:szCs w:val="21"/>
          <w:highlight w:val="none"/>
        </w:rPr>
        <w:t>（</w:t>
      </w:r>
      <w:r>
        <w:rPr>
          <w:rFonts w:cs="宋体"/>
          <w:kern w:val="0"/>
          <w:szCs w:val="21"/>
          <w:highlight w:val="none"/>
        </w:rPr>
        <w:t>1</w:t>
      </w:r>
      <w:r>
        <w:rPr>
          <w:rFonts w:hint="eastAsia" w:hAnsi="宋体" w:cs="宋体"/>
          <w:kern w:val="0"/>
          <w:szCs w:val="21"/>
          <w:highlight w:val="none"/>
        </w:rPr>
        <w:t>）受托人应遵循职业道德准则和行为规范，严格按照法律法规、工程建设有关标准及本合同履行职责。</w:t>
      </w:r>
    </w:p>
    <w:p w14:paraId="3C072DD0">
      <w:pPr>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2</w:t>
      </w:r>
      <w:r>
        <w:rPr>
          <w:rFonts w:hint="eastAsia" w:hAnsi="宋体" w:cs="宋体"/>
          <w:kern w:val="0"/>
          <w:szCs w:val="21"/>
          <w:highlight w:val="none"/>
        </w:rPr>
        <w:t>）受托人应当对与全过程工程咨询服务有关的其他参建方的关系进行协调。</w:t>
      </w:r>
    </w:p>
    <w:p w14:paraId="7A7568F7">
      <w:pPr>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3</w:t>
      </w:r>
      <w:r>
        <w:rPr>
          <w:rFonts w:hint="eastAsia" w:hAnsi="宋体" w:cs="宋体"/>
          <w:kern w:val="0"/>
          <w:szCs w:val="21"/>
          <w:highlight w:val="none"/>
        </w:rPr>
        <w:t>）受托人的其他职责在技术要求中约定。</w:t>
      </w:r>
    </w:p>
    <w:p w14:paraId="0548B4DC">
      <w:pPr>
        <w:spacing w:line="360" w:lineRule="auto"/>
        <w:ind w:left="210" w:leftChars="100"/>
        <w:jc w:val="left"/>
        <w:rPr>
          <w:rFonts w:cs="宋体"/>
          <w:kern w:val="0"/>
          <w:szCs w:val="21"/>
          <w:highlight w:val="none"/>
        </w:rPr>
      </w:pPr>
      <w:r>
        <w:rPr>
          <w:rFonts w:cs="宋体"/>
          <w:kern w:val="0"/>
          <w:szCs w:val="21"/>
          <w:highlight w:val="none"/>
        </w:rPr>
        <w:t xml:space="preserve">2.5 </w:t>
      </w:r>
      <w:r>
        <w:rPr>
          <w:rFonts w:hint="eastAsia" w:hAnsi="宋体" w:cs="宋体"/>
          <w:kern w:val="0"/>
          <w:szCs w:val="21"/>
          <w:highlight w:val="none"/>
        </w:rPr>
        <w:t>提交报告</w:t>
      </w:r>
    </w:p>
    <w:p w14:paraId="514F0967">
      <w:pPr>
        <w:spacing w:line="360" w:lineRule="auto"/>
        <w:ind w:firstLine="420" w:firstLineChars="200"/>
        <w:jc w:val="left"/>
        <w:rPr>
          <w:rFonts w:cs="宋体"/>
          <w:szCs w:val="21"/>
          <w:highlight w:val="none"/>
        </w:rPr>
      </w:pPr>
      <w:r>
        <w:rPr>
          <w:rFonts w:hint="eastAsia" w:hAnsi="宋体" w:cs="宋体"/>
          <w:szCs w:val="21"/>
          <w:highlight w:val="none"/>
        </w:rPr>
        <w:t>受托人应按专用条件约定的种类、时间和份数向委托人提交全过程工程咨询的报告。</w:t>
      </w:r>
    </w:p>
    <w:p w14:paraId="60289812">
      <w:pPr>
        <w:spacing w:line="360" w:lineRule="auto"/>
        <w:ind w:left="210" w:leftChars="100"/>
        <w:jc w:val="left"/>
        <w:rPr>
          <w:rFonts w:cs="宋体"/>
          <w:kern w:val="0"/>
          <w:szCs w:val="21"/>
          <w:highlight w:val="none"/>
        </w:rPr>
      </w:pPr>
      <w:r>
        <w:rPr>
          <w:rFonts w:cs="宋体"/>
          <w:kern w:val="0"/>
          <w:szCs w:val="21"/>
          <w:highlight w:val="none"/>
        </w:rPr>
        <w:t xml:space="preserve">2.6 </w:t>
      </w:r>
      <w:r>
        <w:rPr>
          <w:rFonts w:hint="eastAsia" w:hAnsi="宋体" w:cs="宋体"/>
          <w:kern w:val="0"/>
          <w:szCs w:val="21"/>
          <w:highlight w:val="none"/>
        </w:rPr>
        <w:t>文件资料</w:t>
      </w:r>
    </w:p>
    <w:p w14:paraId="105EDAB6">
      <w:pPr>
        <w:spacing w:line="360" w:lineRule="auto"/>
        <w:ind w:firstLine="420" w:firstLineChars="200"/>
        <w:jc w:val="left"/>
        <w:rPr>
          <w:rFonts w:cs="宋体"/>
          <w:szCs w:val="21"/>
          <w:highlight w:val="none"/>
        </w:rPr>
      </w:pPr>
      <w:r>
        <w:rPr>
          <w:rFonts w:hint="eastAsia" w:hAnsi="宋体" w:cs="宋体"/>
          <w:kern w:val="0"/>
          <w:szCs w:val="21"/>
          <w:highlight w:val="none"/>
        </w:rPr>
        <w:t>在本合同履行期内，受托人应在现场保留工作所用的图纸、报告及记录全过程工程咨询工</w:t>
      </w:r>
      <w:r>
        <w:rPr>
          <w:rFonts w:hint="eastAsia" w:hAnsi="宋体" w:cs="宋体"/>
          <w:szCs w:val="21"/>
          <w:highlight w:val="none"/>
        </w:rPr>
        <w:t>作的相关文件。工程竣工后，应当按照档案管理规定将有关文件归档。</w:t>
      </w:r>
    </w:p>
    <w:p w14:paraId="21F92860">
      <w:pPr>
        <w:spacing w:line="360" w:lineRule="auto"/>
        <w:ind w:left="210" w:leftChars="100"/>
        <w:jc w:val="left"/>
        <w:rPr>
          <w:rFonts w:cs="宋体"/>
          <w:kern w:val="0"/>
          <w:szCs w:val="21"/>
          <w:highlight w:val="none"/>
        </w:rPr>
      </w:pPr>
      <w:r>
        <w:rPr>
          <w:rFonts w:cs="宋体"/>
          <w:kern w:val="0"/>
          <w:szCs w:val="21"/>
          <w:highlight w:val="none"/>
        </w:rPr>
        <w:t xml:space="preserve">2.7 </w:t>
      </w:r>
      <w:r>
        <w:rPr>
          <w:rFonts w:hint="eastAsia" w:hAnsi="宋体" w:cs="宋体"/>
          <w:kern w:val="0"/>
          <w:szCs w:val="21"/>
          <w:highlight w:val="none"/>
        </w:rPr>
        <w:t>使用委托人的财产</w:t>
      </w:r>
    </w:p>
    <w:p w14:paraId="6E8E9D73">
      <w:pPr>
        <w:spacing w:line="360" w:lineRule="auto"/>
        <w:ind w:firstLine="420" w:firstLineChars="200"/>
        <w:jc w:val="left"/>
        <w:rPr>
          <w:rFonts w:cs="宋体"/>
          <w:szCs w:val="21"/>
          <w:highlight w:val="none"/>
        </w:rPr>
      </w:pPr>
      <w:r>
        <w:rPr>
          <w:rFonts w:hint="eastAsia" w:hAnsi="宋体" w:cs="宋体"/>
          <w:szCs w:val="21"/>
          <w:highlight w:val="none"/>
        </w:rPr>
        <w:t>受托人无偿使用由委托人派遣的人员和提供的房屋、资料、设备。除专用条件另有约定外，委托人提供的房屋、设备属于委托人的财产，受托人应妥善使用和保管，在本合同终止时将这些房屋、设备的清单提交委托人，并按专用条件约定的时间和方式移交。</w:t>
      </w:r>
    </w:p>
    <w:p w14:paraId="703B35EB">
      <w:pPr>
        <w:pStyle w:val="5"/>
        <w:spacing w:line="360" w:lineRule="exact"/>
        <w:jc w:val="left"/>
        <w:rPr>
          <w:sz w:val="24"/>
          <w:szCs w:val="24"/>
          <w:highlight w:val="none"/>
        </w:rPr>
      </w:pPr>
      <w:bookmarkStart w:id="253" w:name="_Toc478380029"/>
      <w:bookmarkStart w:id="254" w:name="_Toc478373425"/>
      <w:bookmarkStart w:id="255" w:name="_Toc532553123"/>
      <w:bookmarkStart w:id="256" w:name="_Toc509302650"/>
      <w:bookmarkStart w:id="257" w:name="_Toc532553049"/>
      <w:bookmarkStart w:id="258" w:name="_Toc531850343"/>
      <w:r>
        <w:rPr>
          <w:sz w:val="24"/>
          <w:szCs w:val="24"/>
          <w:highlight w:val="none"/>
        </w:rPr>
        <w:t xml:space="preserve">3. </w:t>
      </w:r>
      <w:r>
        <w:rPr>
          <w:rFonts w:hint="eastAsia"/>
          <w:sz w:val="24"/>
          <w:szCs w:val="24"/>
          <w:highlight w:val="none"/>
        </w:rPr>
        <w:t>委托人的义务</w:t>
      </w:r>
      <w:bookmarkEnd w:id="253"/>
      <w:bookmarkEnd w:id="254"/>
      <w:bookmarkEnd w:id="255"/>
      <w:bookmarkEnd w:id="256"/>
      <w:bookmarkEnd w:id="257"/>
      <w:bookmarkEnd w:id="258"/>
    </w:p>
    <w:p w14:paraId="2A905D00">
      <w:pPr>
        <w:spacing w:line="360" w:lineRule="auto"/>
        <w:ind w:left="210" w:leftChars="100"/>
        <w:jc w:val="left"/>
        <w:rPr>
          <w:rFonts w:cs="宋体"/>
          <w:kern w:val="0"/>
          <w:szCs w:val="21"/>
          <w:highlight w:val="none"/>
        </w:rPr>
      </w:pPr>
      <w:r>
        <w:rPr>
          <w:rFonts w:cs="宋体"/>
          <w:kern w:val="0"/>
          <w:szCs w:val="21"/>
          <w:highlight w:val="none"/>
        </w:rPr>
        <w:t xml:space="preserve">3.1 </w:t>
      </w:r>
      <w:r>
        <w:rPr>
          <w:rFonts w:hint="eastAsia" w:hAnsi="宋体" w:cs="宋体"/>
          <w:kern w:val="0"/>
          <w:szCs w:val="21"/>
          <w:highlight w:val="none"/>
        </w:rPr>
        <w:t>提供资料</w:t>
      </w:r>
    </w:p>
    <w:p w14:paraId="7F4CA0BD">
      <w:pPr>
        <w:spacing w:line="360" w:lineRule="auto"/>
        <w:ind w:firstLine="420" w:firstLineChars="200"/>
        <w:jc w:val="left"/>
        <w:rPr>
          <w:rFonts w:cs="宋体"/>
          <w:szCs w:val="21"/>
          <w:highlight w:val="none"/>
        </w:rPr>
      </w:pPr>
      <w:r>
        <w:rPr>
          <w:rFonts w:hint="eastAsia" w:hAnsi="宋体" w:cs="宋体"/>
          <w:kern w:val="0"/>
          <w:szCs w:val="21"/>
          <w:highlight w:val="none"/>
        </w:rPr>
        <w:t>委托人应按照专用条件和技术要求约定，无偿向受托人提供工程有关的资料。</w:t>
      </w:r>
      <w:r>
        <w:rPr>
          <w:rFonts w:hint="eastAsia" w:hAnsi="宋体" w:cs="宋体"/>
          <w:szCs w:val="21"/>
          <w:highlight w:val="none"/>
        </w:rPr>
        <w:t>在本合同履行过程中，委托人应及时向受托人提供最新的与工程有关的资料。</w:t>
      </w:r>
    </w:p>
    <w:p w14:paraId="39BF6766">
      <w:pPr>
        <w:spacing w:line="360" w:lineRule="auto"/>
        <w:ind w:left="210" w:leftChars="100"/>
        <w:jc w:val="left"/>
        <w:rPr>
          <w:rFonts w:cs="宋体"/>
          <w:kern w:val="0"/>
          <w:szCs w:val="21"/>
          <w:highlight w:val="none"/>
        </w:rPr>
      </w:pPr>
      <w:r>
        <w:rPr>
          <w:rFonts w:cs="宋体"/>
          <w:kern w:val="0"/>
          <w:szCs w:val="21"/>
          <w:highlight w:val="none"/>
        </w:rPr>
        <w:t xml:space="preserve">3.2 </w:t>
      </w:r>
      <w:r>
        <w:rPr>
          <w:rFonts w:hint="eastAsia" w:hAnsi="宋体" w:cs="宋体"/>
          <w:kern w:val="0"/>
          <w:szCs w:val="21"/>
          <w:highlight w:val="none"/>
        </w:rPr>
        <w:t>提供工作条件</w:t>
      </w:r>
    </w:p>
    <w:p w14:paraId="7EEE8DE4">
      <w:pPr>
        <w:adjustRightInd w:val="0"/>
        <w:snapToGrid w:val="0"/>
        <w:spacing w:line="360" w:lineRule="auto"/>
        <w:ind w:firstLine="420" w:firstLineChars="200"/>
        <w:jc w:val="left"/>
        <w:rPr>
          <w:rFonts w:cs="宋体"/>
          <w:szCs w:val="21"/>
          <w:highlight w:val="none"/>
        </w:rPr>
      </w:pPr>
      <w:r>
        <w:rPr>
          <w:rFonts w:cs="宋体"/>
          <w:kern w:val="0"/>
          <w:szCs w:val="21"/>
          <w:highlight w:val="none"/>
        </w:rPr>
        <w:t xml:space="preserve">3.2.1 </w:t>
      </w:r>
      <w:r>
        <w:rPr>
          <w:rFonts w:hint="eastAsia" w:hAnsi="宋体" w:cs="宋体"/>
          <w:szCs w:val="21"/>
          <w:highlight w:val="none"/>
        </w:rPr>
        <w:t>委托人应按照专用条件和技术要求约定，派遣相应的人员，提供满足要求的房屋、设备，供受托人</w:t>
      </w:r>
      <w:r>
        <w:rPr>
          <w:rFonts w:hint="eastAsia" w:hAnsi="宋体" w:cs="宋体"/>
          <w:kern w:val="0"/>
          <w:szCs w:val="21"/>
          <w:highlight w:val="none"/>
        </w:rPr>
        <w:t>无偿</w:t>
      </w:r>
      <w:r>
        <w:rPr>
          <w:rFonts w:hint="eastAsia" w:hAnsi="宋体" w:cs="宋体"/>
          <w:szCs w:val="21"/>
          <w:highlight w:val="none"/>
        </w:rPr>
        <w:t>使用。</w:t>
      </w:r>
    </w:p>
    <w:p w14:paraId="20C65BDE">
      <w:pPr>
        <w:spacing w:line="360" w:lineRule="auto"/>
        <w:ind w:firstLine="420" w:firstLineChars="200"/>
        <w:jc w:val="left"/>
        <w:rPr>
          <w:rFonts w:cs="宋体"/>
          <w:szCs w:val="21"/>
          <w:highlight w:val="none"/>
        </w:rPr>
      </w:pPr>
      <w:r>
        <w:rPr>
          <w:rFonts w:cs="宋体"/>
          <w:kern w:val="0"/>
          <w:szCs w:val="21"/>
          <w:highlight w:val="none"/>
        </w:rPr>
        <w:t xml:space="preserve">3.2.2 </w:t>
      </w:r>
      <w:r>
        <w:rPr>
          <w:rFonts w:hint="eastAsia" w:hAnsi="宋体" w:cs="宋体"/>
          <w:szCs w:val="21"/>
          <w:highlight w:val="none"/>
        </w:rPr>
        <w:t>委托人应协调工程建设中必要的外部关系，为受托人履行本合同提供必要的外部条件。</w:t>
      </w:r>
    </w:p>
    <w:p w14:paraId="74BF06D2">
      <w:pPr>
        <w:snapToGrid w:val="0"/>
        <w:spacing w:line="360" w:lineRule="auto"/>
        <w:ind w:left="210" w:leftChars="100"/>
        <w:jc w:val="left"/>
        <w:rPr>
          <w:rFonts w:cs="宋体"/>
          <w:kern w:val="0"/>
          <w:szCs w:val="21"/>
          <w:highlight w:val="none"/>
        </w:rPr>
      </w:pPr>
      <w:r>
        <w:rPr>
          <w:rFonts w:cs="宋体"/>
          <w:kern w:val="0"/>
          <w:szCs w:val="21"/>
          <w:highlight w:val="none"/>
        </w:rPr>
        <w:t xml:space="preserve">3.3 </w:t>
      </w:r>
      <w:r>
        <w:rPr>
          <w:rFonts w:hint="eastAsia" w:hAnsi="宋体" w:cs="宋体"/>
          <w:kern w:val="0"/>
          <w:szCs w:val="21"/>
          <w:highlight w:val="none"/>
        </w:rPr>
        <w:t>委托人代表</w:t>
      </w:r>
    </w:p>
    <w:p w14:paraId="5F75A8D0">
      <w:pPr>
        <w:snapToGrid w:val="0"/>
        <w:spacing w:line="360" w:lineRule="auto"/>
        <w:ind w:firstLine="420" w:firstLineChars="200"/>
        <w:jc w:val="left"/>
        <w:rPr>
          <w:rFonts w:cs="宋体"/>
          <w:szCs w:val="21"/>
          <w:highlight w:val="none"/>
        </w:rPr>
      </w:pPr>
      <w:r>
        <w:rPr>
          <w:rFonts w:hint="eastAsia" w:hAnsi="宋体" w:cs="宋体"/>
          <w:szCs w:val="21"/>
          <w:highlight w:val="none"/>
        </w:rPr>
        <w:t>委托人应授权一名熟悉工程情况的代表，负责与受托人联系。委托人应在双方签订本合同后</w:t>
      </w:r>
      <w:r>
        <w:rPr>
          <w:rFonts w:cs="宋体"/>
          <w:szCs w:val="21"/>
          <w:highlight w:val="none"/>
        </w:rPr>
        <w:t>7</w:t>
      </w:r>
      <w:r>
        <w:rPr>
          <w:rFonts w:hint="eastAsia" w:hAnsi="宋体" w:cs="宋体"/>
          <w:szCs w:val="21"/>
          <w:highlight w:val="none"/>
        </w:rPr>
        <w:t>天内，将委托人代表的姓名和职责书面告知受托人。当委托人更换委托人代表时，应提前</w:t>
      </w:r>
      <w:r>
        <w:rPr>
          <w:rFonts w:cs="宋体"/>
          <w:szCs w:val="21"/>
          <w:highlight w:val="none"/>
        </w:rPr>
        <w:t>7</w:t>
      </w:r>
      <w:r>
        <w:rPr>
          <w:rFonts w:hint="eastAsia" w:hAnsi="宋体" w:cs="宋体"/>
          <w:szCs w:val="21"/>
          <w:highlight w:val="none"/>
        </w:rPr>
        <w:t>天通知受托人。</w:t>
      </w:r>
    </w:p>
    <w:p w14:paraId="3FDA1D96">
      <w:pPr>
        <w:snapToGrid w:val="0"/>
        <w:spacing w:line="360" w:lineRule="auto"/>
        <w:ind w:left="210" w:leftChars="100"/>
        <w:jc w:val="left"/>
        <w:rPr>
          <w:rFonts w:cs="宋体"/>
          <w:kern w:val="0"/>
          <w:szCs w:val="21"/>
          <w:highlight w:val="none"/>
        </w:rPr>
      </w:pPr>
      <w:r>
        <w:rPr>
          <w:rFonts w:cs="宋体"/>
          <w:kern w:val="0"/>
          <w:szCs w:val="21"/>
          <w:highlight w:val="none"/>
        </w:rPr>
        <w:t xml:space="preserve">3.4 </w:t>
      </w:r>
      <w:r>
        <w:rPr>
          <w:rFonts w:hint="eastAsia" w:hAnsi="宋体" w:cs="宋体"/>
          <w:kern w:val="0"/>
          <w:szCs w:val="21"/>
          <w:highlight w:val="none"/>
        </w:rPr>
        <w:t>告知</w:t>
      </w:r>
    </w:p>
    <w:p w14:paraId="2DADDE28">
      <w:pPr>
        <w:spacing w:line="360" w:lineRule="auto"/>
        <w:ind w:firstLine="420" w:firstLineChars="200"/>
        <w:jc w:val="left"/>
        <w:rPr>
          <w:rFonts w:cs="宋体"/>
          <w:kern w:val="0"/>
          <w:szCs w:val="21"/>
          <w:highlight w:val="none"/>
        </w:rPr>
      </w:pPr>
      <w:r>
        <w:rPr>
          <w:rFonts w:hint="eastAsia" w:hAnsi="宋体" w:cs="宋体"/>
          <w:kern w:val="0"/>
          <w:szCs w:val="21"/>
          <w:highlight w:val="none"/>
        </w:rPr>
        <w:t>委托人应在委托人与其他参建方签订的合同中明确受托人、全过程工程咨询项目总负责人和授予全过程工程咨询机构的权限。如有变更，应及时通知其他参建方。</w:t>
      </w:r>
    </w:p>
    <w:p w14:paraId="02307622">
      <w:pPr>
        <w:snapToGrid w:val="0"/>
        <w:spacing w:line="360" w:lineRule="auto"/>
        <w:ind w:left="210" w:leftChars="100"/>
        <w:jc w:val="left"/>
        <w:rPr>
          <w:rFonts w:cs="宋体"/>
          <w:kern w:val="0"/>
          <w:szCs w:val="21"/>
          <w:highlight w:val="none"/>
        </w:rPr>
      </w:pPr>
      <w:r>
        <w:rPr>
          <w:rFonts w:cs="宋体"/>
          <w:kern w:val="0"/>
          <w:szCs w:val="21"/>
          <w:highlight w:val="none"/>
        </w:rPr>
        <w:t xml:space="preserve">3.5 </w:t>
      </w:r>
      <w:r>
        <w:rPr>
          <w:rFonts w:hint="eastAsia" w:hAnsi="宋体" w:cs="宋体"/>
          <w:kern w:val="0"/>
          <w:szCs w:val="21"/>
          <w:highlight w:val="none"/>
        </w:rPr>
        <w:t>审核与答复</w:t>
      </w:r>
    </w:p>
    <w:p w14:paraId="1830A26A">
      <w:pPr>
        <w:snapToGrid w:val="0"/>
        <w:spacing w:line="360" w:lineRule="auto"/>
        <w:ind w:firstLine="420" w:firstLineChars="200"/>
        <w:jc w:val="left"/>
        <w:rPr>
          <w:rFonts w:cs="宋体"/>
          <w:szCs w:val="21"/>
          <w:highlight w:val="none"/>
        </w:rPr>
      </w:pPr>
      <w:r>
        <w:rPr>
          <w:rFonts w:cs="宋体"/>
          <w:szCs w:val="21"/>
          <w:highlight w:val="none"/>
        </w:rPr>
        <w:t xml:space="preserve">3.5.1 </w:t>
      </w:r>
      <w:r>
        <w:rPr>
          <w:rFonts w:hint="eastAsia" w:hAnsi="宋体" w:cs="宋体"/>
          <w:szCs w:val="21"/>
          <w:highlight w:val="none"/>
        </w:rPr>
        <w:t>委托人应在专用条件约定的时间内，对受托人以书面形式提交并要求审核或作出决定的事宜，给予书面答复。逾期未答复的，视为委托人认可。</w:t>
      </w:r>
    </w:p>
    <w:p w14:paraId="1CD3687F">
      <w:pPr>
        <w:snapToGrid w:val="0"/>
        <w:spacing w:line="360" w:lineRule="auto"/>
        <w:ind w:firstLine="420" w:firstLineChars="200"/>
        <w:jc w:val="left"/>
        <w:rPr>
          <w:rFonts w:cs="宋体"/>
          <w:szCs w:val="21"/>
          <w:highlight w:val="none"/>
        </w:rPr>
      </w:pPr>
      <w:r>
        <w:rPr>
          <w:rFonts w:cs="宋体"/>
          <w:szCs w:val="21"/>
          <w:highlight w:val="none"/>
        </w:rPr>
        <w:t xml:space="preserve">3.5.2 </w:t>
      </w:r>
      <w:r>
        <w:rPr>
          <w:rFonts w:hint="eastAsia" w:hAnsi="宋体" w:cs="宋体"/>
          <w:szCs w:val="21"/>
          <w:highlight w:val="none"/>
        </w:rPr>
        <w:t>委托人应及时审批受托人提交的相关文件，协调并解决在工程建设过程中由受托人提出的重大问题。</w:t>
      </w:r>
    </w:p>
    <w:p w14:paraId="755C8C27">
      <w:pPr>
        <w:snapToGrid w:val="0"/>
        <w:spacing w:line="360" w:lineRule="auto"/>
        <w:ind w:left="210" w:leftChars="100"/>
        <w:jc w:val="left"/>
        <w:rPr>
          <w:rFonts w:cs="宋体"/>
          <w:kern w:val="0"/>
          <w:szCs w:val="21"/>
          <w:highlight w:val="none"/>
        </w:rPr>
      </w:pPr>
      <w:r>
        <w:rPr>
          <w:rFonts w:cs="宋体"/>
          <w:kern w:val="0"/>
          <w:szCs w:val="21"/>
          <w:highlight w:val="none"/>
        </w:rPr>
        <w:t xml:space="preserve">3.6 </w:t>
      </w:r>
      <w:r>
        <w:rPr>
          <w:rFonts w:hint="eastAsia" w:hAnsi="宋体" w:cs="宋体"/>
          <w:kern w:val="0"/>
          <w:szCs w:val="21"/>
          <w:highlight w:val="none"/>
        </w:rPr>
        <w:t>支付</w:t>
      </w:r>
    </w:p>
    <w:p w14:paraId="7A79A0F6">
      <w:pPr>
        <w:snapToGrid w:val="0"/>
        <w:spacing w:line="360" w:lineRule="auto"/>
        <w:ind w:firstLine="420" w:firstLineChars="200"/>
        <w:jc w:val="left"/>
        <w:rPr>
          <w:rFonts w:cs="宋体"/>
          <w:szCs w:val="21"/>
          <w:highlight w:val="none"/>
        </w:rPr>
      </w:pPr>
      <w:r>
        <w:rPr>
          <w:rFonts w:hint="eastAsia" w:hAnsi="宋体" w:cs="宋体"/>
          <w:szCs w:val="21"/>
          <w:highlight w:val="none"/>
        </w:rPr>
        <w:t>委托人应按本合同约定，向受托人支付酬金。</w:t>
      </w:r>
    </w:p>
    <w:p w14:paraId="2720F3AE">
      <w:pPr>
        <w:snapToGrid w:val="0"/>
        <w:spacing w:line="360" w:lineRule="auto"/>
        <w:ind w:left="210" w:leftChars="100"/>
        <w:jc w:val="left"/>
        <w:rPr>
          <w:rFonts w:cs="宋体"/>
          <w:szCs w:val="21"/>
          <w:highlight w:val="none"/>
        </w:rPr>
      </w:pPr>
      <w:r>
        <w:rPr>
          <w:rFonts w:cs="宋体"/>
          <w:szCs w:val="21"/>
          <w:highlight w:val="none"/>
        </w:rPr>
        <w:t xml:space="preserve">3.7 </w:t>
      </w:r>
      <w:r>
        <w:rPr>
          <w:rFonts w:hint="eastAsia" w:hAnsi="宋体" w:cs="宋体"/>
          <w:szCs w:val="21"/>
          <w:highlight w:val="none"/>
        </w:rPr>
        <w:t>配合、参与和监督</w:t>
      </w:r>
    </w:p>
    <w:p w14:paraId="36312CDC">
      <w:pPr>
        <w:snapToGrid w:val="0"/>
        <w:spacing w:line="360" w:lineRule="auto"/>
        <w:ind w:firstLine="420" w:firstLineChars="200"/>
        <w:jc w:val="left"/>
        <w:rPr>
          <w:rFonts w:cs="宋体"/>
          <w:szCs w:val="21"/>
          <w:highlight w:val="none"/>
        </w:rPr>
      </w:pPr>
      <w:r>
        <w:rPr>
          <w:rFonts w:hint="eastAsia" w:hAnsi="宋体" w:cs="宋体"/>
          <w:szCs w:val="21"/>
          <w:highlight w:val="none"/>
        </w:rPr>
        <w:t>委托人应当根据建设程序的要求，参与工程建设相关的汇报、检查、验收等活动；并有权对受托人的全过程工程咨询进行必要的监督与管理。</w:t>
      </w:r>
    </w:p>
    <w:p w14:paraId="1792B4D0">
      <w:pPr>
        <w:pStyle w:val="5"/>
        <w:spacing w:before="0" w:after="0" w:line="240" w:lineRule="auto"/>
        <w:jc w:val="left"/>
        <w:rPr>
          <w:sz w:val="24"/>
          <w:szCs w:val="24"/>
          <w:highlight w:val="none"/>
        </w:rPr>
      </w:pPr>
      <w:bookmarkStart w:id="259" w:name="_Toc532553124"/>
      <w:bookmarkStart w:id="260" w:name="_Toc531850344"/>
      <w:bookmarkStart w:id="261" w:name="_Toc509302655"/>
      <w:bookmarkStart w:id="262" w:name="_Toc532553050"/>
      <w:r>
        <w:rPr>
          <w:sz w:val="24"/>
          <w:szCs w:val="24"/>
          <w:highlight w:val="none"/>
        </w:rPr>
        <w:t xml:space="preserve">4. </w:t>
      </w:r>
      <w:r>
        <w:rPr>
          <w:rFonts w:hint="eastAsia"/>
          <w:sz w:val="24"/>
          <w:szCs w:val="24"/>
          <w:highlight w:val="none"/>
        </w:rPr>
        <w:t>文档管理</w:t>
      </w:r>
      <w:bookmarkEnd w:id="259"/>
      <w:bookmarkEnd w:id="260"/>
      <w:bookmarkEnd w:id="261"/>
      <w:bookmarkEnd w:id="262"/>
    </w:p>
    <w:p w14:paraId="722F4E93">
      <w:pPr>
        <w:spacing w:line="400" w:lineRule="exact"/>
        <w:ind w:firstLine="525" w:firstLineChars="250"/>
        <w:jc w:val="left"/>
        <w:rPr>
          <w:szCs w:val="21"/>
          <w:highlight w:val="none"/>
        </w:rPr>
      </w:pPr>
      <w:r>
        <w:rPr>
          <w:szCs w:val="21"/>
          <w:highlight w:val="none"/>
        </w:rPr>
        <w:t xml:space="preserve">4.1 </w:t>
      </w:r>
      <w:r>
        <w:rPr>
          <w:rFonts w:hint="eastAsia" w:hAnsi="宋体"/>
          <w:szCs w:val="21"/>
          <w:highlight w:val="none"/>
        </w:rPr>
        <w:t>全过程工程咨询文件档案资料的管理应做到：注意时效、及时整理、真实可靠、内容齐全、分类有序。</w:t>
      </w:r>
    </w:p>
    <w:p w14:paraId="1BE65464">
      <w:pPr>
        <w:spacing w:line="400" w:lineRule="exact"/>
        <w:ind w:firstLine="525" w:firstLineChars="250"/>
        <w:jc w:val="left"/>
        <w:rPr>
          <w:szCs w:val="21"/>
          <w:highlight w:val="none"/>
        </w:rPr>
      </w:pPr>
      <w:r>
        <w:rPr>
          <w:szCs w:val="21"/>
          <w:highlight w:val="none"/>
        </w:rPr>
        <w:t xml:space="preserve">4.2 </w:t>
      </w:r>
      <w:r>
        <w:rPr>
          <w:rFonts w:hint="eastAsia" w:hAnsi="宋体"/>
          <w:szCs w:val="21"/>
          <w:highlight w:val="none"/>
        </w:rPr>
        <w:t>在工程项目实施前，受托人应对文件档案的编码、格式、份数等作统一规定；对各类文档归档建立相应的制度。</w:t>
      </w:r>
    </w:p>
    <w:p w14:paraId="6E4044E3">
      <w:pPr>
        <w:spacing w:line="400" w:lineRule="exact"/>
        <w:ind w:firstLine="525" w:firstLineChars="250"/>
        <w:jc w:val="left"/>
        <w:rPr>
          <w:szCs w:val="21"/>
          <w:highlight w:val="none"/>
        </w:rPr>
      </w:pPr>
      <w:r>
        <w:rPr>
          <w:szCs w:val="21"/>
          <w:highlight w:val="none"/>
        </w:rPr>
        <w:t xml:space="preserve">4.3 </w:t>
      </w:r>
      <w:r>
        <w:rPr>
          <w:rFonts w:hint="eastAsia" w:hAnsi="宋体"/>
          <w:szCs w:val="21"/>
          <w:highlight w:val="none"/>
        </w:rPr>
        <w:t>全过程工程咨询文件档案资料的收集、整理、归档，由全过程工程咨询总负责人落实专人具体实施。归档资料的管理应符合当地建设行政主管部门和委托人的资料归档要求，由委托人于工程建设开始前书面提出要求。</w:t>
      </w:r>
    </w:p>
    <w:p w14:paraId="329F9A06">
      <w:pPr>
        <w:spacing w:line="400" w:lineRule="exact"/>
        <w:ind w:firstLine="525" w:firstLineChars="250"/>
        <w:jc w:val="left"/>
        <w:rPr>
          <w:szCs w:val="21"/>
          <w:highlight w:val="none"/>
        </w:rPr>
      </w:pPr>
      <w:r>
        <w:rPr>
          <w:szCs w:val="21"/>
          <w:highlight w:val="none"/>
        </w:rPr>
        <w:t xml:space="preserve">4.4 </w:t>
      </w:r>
      <w:r>
        <w:rPr>
          <w:rFonts w:hint="eastAsia" w:hAnsi="宋体"/>
          <w:szCs w:val="21"/>
          <w:highlight w:val="none"/>
        </w:rPr>
        <w:t>在全过程工程咨询工作完成后将工程档案、财务档案及相关资料向委托人和有关部门移交。未征得委托人同意，不得泄露与本工程有关的保密资料。</w:t>
      </w:r>
    </w:p>
    <w:p w14:paraId="2FE49ED7">
      <w:pPr>
        <w:spacing w:line="400" w:lineRule="exact"/>
        <w:ind w:firstLine="525" w:firstLineChars="250"/>
        <w:jc w:val="left"/>
        <w:rPr>
          <w:szCs w:val="21"/>
          <w:highlight w:val="none"/>
        </w:rPr>
      </w:pPr>
      <w:r>
        <w:rPr>
          <w:szCs w:val="21"/>
          <w:highlight w:val="none"/>
        </w:rPr>
        <w:t xml:space="preserve">4.5 </w:t>
      </w:r>
      <w:r>
        <w:rPr>
          <w:rFonts w:hint="eastAsia" w:hAnsi="宋体"/>
          <w:szCs w:val="21"/>
          <w:highlight w:val="none"/>
        </w:rPr>
        <w:t>委托人应当在专用条件约定的时间内免费向受托人提供与项目建设有关的技术资料、政府有关批准文件以及该工程有关的其他资料，并保证上述资料的准确性、可靠性和完整性。</w:t>
      </w:r>
    </w:p>
    <w:p w14:paraId="70AE5C98">
      <w:pPr>
        <w:spacing w:line="400" w:lineRule="exact"/>
        <w:ind w:firstLine="525" w:firstLineChars="250"/>
        <w:jc w:val="left"/>
        <w:rPr>
          <w:szCs w:val="21"/>
          <w:highlight w:val="none"/>
        </w:rPr>
      </w:pPr>
      <w:r>
        <w:rPr>
          <w:szCs w:val="21"/>
          <w:highlight w:val="none"/>
        </w:rPr>
        <w:t xml:space="preserve">4.6 </w:t>
      </w:r>
      <w:r>
        <w:rPr>
          <w:rFonts w:hint="eastAsia" w:hAnsi="宋体"/>
          <w:szCs w:val="21"/>
          <w:highlight w:val="none"/>
        </w:rPr>
        <w:t>委托人有权要求受托人提交按专用条件约定的各类全过程工程咨询文档，并对受托人在项目实施过程中形成文档有查阅权。</w:t>
      </w:r>
    </w:p>
    <w:p w14:paraId="6C231FCA">
      <w:pPr>
        <w:pStyle w:val="5"/>
        <w:spacing w:line="360" w:lineRule="exact"/>
        <w:jc w:val="left"/>
        <w:rPr>
          <w:sz w:val="24"/>
          <w:szCs w:val="24"/>
          <w:highlight w:val="none"/>
        </w:rPr>
      </w:pPr>
      <w:bookmarkStart w:id="263" w:name="_Toc478373426"/>
      <w:bookmarkStart w:id="264" w:name="_Toc478380030"/>
      <w:bookmarkStart w:id="265" w:name="_Toc532553051"/>
      <w:bookmarkStart w:id="266" w:name="_Toc531850345"/>
      <w:bookmarkStart w:id="267" w:name="_Toc509302660"/>
      <w:bookmarkStart w:id="268" w:name="_Toc532553125"/>
      <w:r>
        <w:rPr>
          <w:sz w:val="24"/>
          <w:szCs w:val="24"/>
          <w:highlight w:val="none"/>
        </w:rPr>
        <w:t xml:space="preserve">5. </w:t>
      </w:r>
      <w:r>
        <w:rPr>
          <w:rFonts w:hint="eastAsia"/>
          <w:sz w:val="24"/>
          <w:szCs w:val="24"/>
          <w:highlight w:val="none"/>
        </w:rPr>
        <w:t>违约责任</w:t>
      </w:r>
      <w:bookmarkEnd w:id="263"/>
      <w:bookmarkEnd w:id="264"/>
      <w:bookmarkEnd w:id="265"/>
      <w:bookmarkEnd w:id="266"/>
      <w:bookmarkEnd w:id="267"/>
      <w:bookmarkEnd w:id="268"/>
    </w:p>
    <w:p w14:paraId="1A8769DE">
      <w:pPr>
        <w:spacing w:line="360" w:lineRule="auto"/>
        <w:ind w:left="210" w:leftChars="100"/>
        <w:jc w:val="left"/>
        <w:rPr>
          <w:rFonts w:cs="宋体"/>
          <w:kern w:val="0"/>
          <w:szCs w:val="21"/>
          <w:highlight w:val="none"/>
        </w:rPr>
      </w:pPr>
      <w:r>
        <w:rPr>
          <w:rFonts w:cs="宋体"/>
          <w:kern w:val="0"/>
          <w:szCs w:val="21"/>
          <w:highlight w:val="none"/>
        </w:rPr>
        <w:t xml:space="preserve">5.1 </w:t>
      </w:r>
      <w:r>
        <w:rPr>
          <w:rFonts w:hint="eastAsia" w:hAnsi="宋体" w:cs="宋体"/>
          <w:kern w:val="0"/>
          <w:szCs w:val="21"/>
          <w:highlight w:val="none"/>
        </w:rPr>
        <w:t>受托人的违约责任</w:t>
      </w:r>
    </w:p>
    <w:p w14:paraId="57F52943">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受托人未履行本合同义务的，应承担相应的责任。</w:t>
      </w:r>
    </w:p>
    <w:p w14:paraId="733CD158">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5.1.1 </w:t>
      </w:r>
      <w:r>
        <w:rPr>
          <w:rFonts w:hint="eastAsia" w:hAnsi="宋体" w:cs="宋体"/>
          <w:kern w:val="0"/>
          <w:szCs w:val="21"/>
          <w:highlight w:val="none"/>
        </w:rPr>
        <w:t>因受托人违反本合同约定</w:t>
      </w:r>
      <w:r>
        <w:rPr>
          <w:rFonts w:hint="eastAsia" w:hAnsi="宋体" w:cs="宋体"/>
          <w:szCs w:val="21"/>
          <w:highlight w:val="none"/>
        </w:rPr>
        <w:t>给委托人造成损失的，受托人应当赔偿委托人损失</w:t>
      </w:r>
      <w:r>
        <w:rPr>
          <w:rFonts w:hint="eastAsia" w:hAnsi="宋体" w:cs="宋体"/>
          <w:kern w:val="0"/>
          <w:szCs w:val="21"/>
          <w:highlight w:val="none"/>
        </w:rPr>
        <w:t>。赔偿金额的确定方法在专用条件中约定。受托人承担部分赔偿责任的，其承担赔偿金额由双方协商确定。</w:t>
      </w:r>
    </w:p>
    <w:p w14:paraId="7F380D48">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5.1.2 </w:t>
      </w:r>
      <w:r>
        <w:rPr>
          <w:rFonts w:hint="eastAsia" w:hAnsi="宋体" w:cs="宋体"/>
          <w:kern w:val="0"/>
          <w:szCs w:val="21"/>
          <w:highlight w:val="none"/>
        </w:rPr>
        <w:t>未经委托人同意，受托人擅自更换全过程工程咨询项目总负责人，或者全过程工程咨询项目总负责人长期不在岗的；</w:t>
      </w:r>
    </w:p>
    <w:p w14:paraId="24628E26">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5.1.3 </w:t>
      </w:r>
      <w:r>
        <w:rPr>
          <w:rFonts w:hint="eastAsia" w:hAnsi="宋体" w:cs="宋体"/>
          <w:kern w:val="0"/>
          <w:szCs w:val="21"/>
          <w:highlight w:val="none"/>
        </w:rPr>
        <w:t>受托人不履行合同义务或不按合同约定履行义务的其他情况，并给委托人造成直接经济损失的。</w:t>
      </w:r>
    </w:p>
    <w:p w14:paraId="73F41F8B">
      <w:pPr>
        <w:snapToGrid w:val="0"/>
        <w:spacing w:line="360" w:lineRule="auto"/>
        <w:ind w:firstLine="210" w:firstLineChars="100"/>
        <w:jc w:val="left"/>
        <w:rPr>
          <w:rFonts w:cs="宋体"/>
          <w:kern w:val="0"/>
          <w:szCs w:val="21"/>
          <w:highlight w:val="none"/>
        </w:rPr>
      </w:pPr>
      <w:r>
        <w:rPr>
          <w:rFonts w:cs="宋体"/>
          <w:kern w:val="0"/>
          <w:szCs w:val="21"/>
          <w:highlight w:val="none"/>
        </w:rPr>
        <w:t xml:space="preserve">5.2 </w:t>
      </w:r>
      <w:r>
        <w:rPr>
          <w:rFonts w:hint="eastAsia" w:hAnsi="宋体" w:cs="宋体"/>
          <w:kern w:val="0"/>
          <w:szCs w:val="21"/>
          <w:highlight w:val="none"/>
        </w:rPr>
        <w:t>委托人的违约责任</w:t>
      </w:r>
    </w:p>
    <w:p w14:paraId="776B0C3B">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委托人未履行本合同义务的，应承担相应的责任。</w:t>
      </w:r>
    </w:p>
    <w:p w14:paraId="60C133A2">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5.2.1 </w:t>
      </w:r>
      <w:r>
        <w:rPr>
          <w:rFonts w:hint="eastAsia" w:hAnsi="宋体" w:cs="宋体"/>
          <w:kern w:val="0"/>
          <w:szCs w:val="21"/>
          <w:highlight w:val="none"/>
        </w:rPr>
        <w:t>委托人违反本合同约定造成受托人损失的，委托人应予以赔偿。</w:t>
      </w:r>
    </w:p>
    <w:p w14:paraId="6EE6C5F6">
      <w:pPr>
        <w:spacing w:line="360" w:lineRule="auto"/>
        <w:ind w:firstLine="420" w:firstLineChars="200"/>
        <w:jc w:val="left"/>
        <w:rPr>
          <w:rFonts w:cs="宋体"/>
          <w:szCs w:val="21"/>
          <w:highlight w:val="none"/>
        </w:rPr>
      </w:pPr>
      <w:r>
        <w:rPr>
          <w:rFonts w:cs="宋体"/>
          <w:szCs w:val="21"/>
          <w:highlight w:val="none"/>
        </w:rPr>
        <w:t xml:space="preserve">5.2.2 </w:t>
      </w:r>
      <w:r>
        <w:rPr>
          <w:rFonts w:hint="eastAsia" w:hAnsi="宋体" w:cs="宋体"/>
          <w:szCs w:val="21"/>
          <w:highlight w:val="none"/>
        </w:rPr>
        <w:t>委托人向受托人的索赔不成立时，应赔偿受托人由此引起的费用。</w:t>
      </w:r>
    </w:p>
    <w:p w14:paraId="26454EBA">
      <w:pPr>
        <w:spacing w:line="360" w:lineRule="auto"/>
        <w:ind w:firstLine="420" w:firstLineChars="200"/>
        <w:jc w:val="left"/>
        <w:rPr>
          <w:rFonts w:cs="宋体"/>
          <w:kern w:val="0"/>
          <w:szCs w:val="21"/>
          <w:highlight w:val="none"/>
        </w:rPr>
      </w:pPr>
      <w:r>
        <w:rPr>
          <w:rFonts w:cs="宋体"/>
          <w:szCs w:val="21"/>
          <w:highlight w:val="none"/>
        </w:rPr>
        <w:t xml:space="preserve">5.2.3 </w:t>
      </w:r>
      <w:r>
        <w:rPr>
          <w:rFonts w:hint="eastAsia" w:hAnsi="宋体" w:cs="宋体"/>
          <w:kern w:val="0"/>
          <w:szCs w:val="21"/>
          <w:highlight w:val="none"/>
        </w:rPr>
        <w:t>委托人未能按期支付</w:t>
      </w:r>
      <w:r>
        <w:rPr>
          <w:rFonts w:hint="eastAsia" w:hAnsi="宋体" w:cs="宋体"/>
          <w:szCs w:val="21"/>
          <w:highlight w:val="none"/>
        </w:rPr>
        <w:t>酬金</w:t>
      </w:r>
      <w:r>
        <w:rPr>
          <w:rFonts w:hint="eastAsia" w:hAnsi="宋体" w:cs="宋体"/>
          <w:kern w:val="0"/>
          <w:szCs w:val="21"/>
          <w:highlight w:val="none"/>
        </w:rPr>
        <w:t>超过</w:t>
      </w:r>
      <w:r>
        <w:rPr>
          <w:rFonts w:cs="宋体"/>
          <w:kern w:val="0"/>
          <w:szCs w:val="21"/>
          <w:highlight w:val="none"/>
        </w:rPr>
        <w:t>28</w:t>
      </w:r>
      <w:r>
        <w:rPr>
          <w:rFonts w:hint="eastAsia" w:hAnsi="宋体" w:cs="宋体"/>
          <w:kern w:val="0"/>
          <w:szCs w:val="21"/>
          <w:highlight w:val="none"/>
        </w:rPr>
        <w:t>天，应按专用条件约定支付逾期付款利息。</w:t>
      </w:r>
    </w:p>
    <w:p w14:paraId="4BE9FFD3">
      <w:pPr>
        <w:spacing w:line="360" w:lineRule="auto"/>
        <w:ind w:firstLine="210" w:firstLineChars="100"/>
        <w:jc w:val="left"/>
        <w:rPr>
          <w:rFonts w:cs="宋体"/>
          <w:kern w:val="0"/>
          <w:szCs w:val="21"/>
          <w:highlight w:val="none"/>
        </w:rPr>
      </w:pPr>
      <w:r>
        <w:rPr>
          <w:rFonts w:cs="宋体"/>
          <w:kern w:val="0"/>
          <w:szCs w:val="21"/>
          <w:highlight w:val="none"/>
        </w:rPr>
        <w:t xml:space="preserve">5.3 </w:t>
      </w:r>
      <w:r>
        <w:rPr>
          <w:rFonts w:hint="eastAsia" w:hAnsi="宋体" w:cs="宋体"/>
          <w:kern w:val="0"/>
          <w:szCs w:val="21"/>
          <w:highlight w:val="none"/>
        </w:rPr>
        <w:t>除外责任</w:t>
      </w:r>
    </w:p>
    <w:p w14:paraId="6B081BB7">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5.3.1 </w:t>
      </w:r>
      <w:r>
        <w:rPr>
          <w:rFonts w:hint="eastAsia" w:hAnsi="宋体" w:cs="宋体"/>
          <w:kern w:val="0"/>
          <w:szCs w:val="21"/>
          <w:highlight w:val="none"/>
        </w:rPr>
        <w:t>因非受托人的原因，且受托人无过错，发生工程质量事故、安全事故、工期延误等造成的损失，受托人不承担赔偿责任。</w:t>
      </w:r>
    </w:p>
    <w:p w14:paraId="311C220F">
      <w:pPr>
        <w:adjustRightInd w:val="0"/>
        <w:snapToGrid w:val="0"/>
        <w:spacing w:line="360" w:lineRule="auto"/>
        <w:ind w:firstLine="420" w:firstLineChars="200"/>
        <w:jc w:val="left"/>
        <w:rPr>
          <w:szCs w:val="21"/>
          <w:highlight w:val="none"/>
        </w:rPr>
      </w:pPr>
      <w:r>
        <w:rPr>
          <w:rFonts w:cs="宋体"/>
          <w:kern w:val="0"/>
          <w:szCs w:val="21"/>
          <w:highlight w:val="none"/>
        </w:rPr>
        <w:t xml:space="preserve">5.3.2 </w:t>
      </w:r>
      <w:r>
        <w:rPr>
          <w:rFonts w:hint="eastAsia" w:hAnsi="宋体"/>
          <w:szCs w:val="21"/>
          <w:highlight w:val="none"/>
        </w:rPr>
        <w:t>受托人对委托人决策（该决策非受托人提供错误咨询意见引起）不承担责任。</w:t>
      </w:r>
    </w:p>
    <w:p w14:paraId="1F53668E">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5.3.3 </w:t>
      </w:r>
      <w:r>
        <w:rPr>
          <w:rFonts w:hint="eastAsia" w:hAnsi="宋体"/>
          <w:szCs w:val="21"/>
          <w:highlight w:val="none"/>
        </w:rPr>
        <w:t>因不可抗力对工程项目建设造成的影响，受托人不承担责任。</w:t>
      </w:r>
      <w:r>
        <w:rPr>
          <w:rFonts w:hint="eastAsia" w:hAnsi="宋体" w:cs="宋体"/>
          <w:kern w:val="0"/>
          <w:szCs w:val="21"/>
          <w:highlight w:val="none"/>
        </w:rPr>
        <w:t>因不可抗力导致本合同全部或部分不能履行时，双方各自承担其因此而造成的损失、损害。</w:t>
      </w:r>
    </w:p>
    <w:p w14:paraId="5D92058A">
      <w:pPr>
        <w:adjustRightInd w:val="0"/>
        <w:snapToGrid w:val="0"/>
        <w:spacing w:line="360" w:lineRule="auto"/>
        <w:ind w:firstLine="420" w:firstLineChars="200"/>
        <w:jc w:val="left"/>
        <w:rPr>
          <w:rFonts w:cs="宋体"/>
          <w:kern w:val="0"/>
          <w:szCs w:val="21"/>
          <w:highlight w:val="none"/>
        </w:rPr>
      </w:pPr>
      <w:r>
        <w:rPr>
          <w:szCs w:val="21"/>
          <w:highlight w:val="none"/>
        </w:rPr>
        <w:t xml:space="preserve">5.3.4 </w:t>
      </w:r>
      <w:r>
        <w:rPr>
          <w:rFonts w:hint="eastAsia" w:hAnsi="宋体" w:cs="宋体"/>
          <w:kern w:val="0"/>
          <w:szCs w:val="21"/>
          <w:highlight w:val="none"/>
        </w:rPr>
        <w:t>受托人</w:t>
      </w:r>
      <w:r>
        <w:rPr>
          <w:rFonts w:hint="eastAsia" w:hAnsi="宋体"/>
          <w:szCs w:val="21"/>
          <w:highlight w:val="none"/>
        </w:rPr>
        <w:t>的其他免责条款，由双方另行约定。</w:t>
      </w:r>
    </w:p>
    <w:p w14:paraId="45EB6290">
      <w:pPr>
        <w:pStyle w:val="5"/>
        <w:spacing w:before="0" w:after="0" w:line="240" w:lineRule="auto"/>
        <w:jc w:val="left"/>
        <w:rPr>
          <w:sz w:val="24"/>
          <w:szCs w:val="24"/>
          <w:highlight w:val="none"/>
        </w:rPr>
      </w:pPr>
      <w:bookmarkStart w:id="269" w:name="_Toc478373427"/>
      <w:bookmarkStart w:id="270" w:name="_Toc532553126"/>
      <w:bookmarkStart w:id="271" w:name="_Toc478380031"/>
      <w:bookmarkStart w:id="272" w:name="_Toc531850346"/>
      <w:bookmarkStart w:id="273" w:name="_Toc509302661"/>
      <w:bookmarkStart w:id="274" w:name="_Toc532553052"/>
      <w:r>
        <w:rPr>
          <w:sz w:val="24"/>
          <w:szCs w:val="24"/>
          <w:highlight w:val="none"/>
        </w:rPr>
        <w:t xml:space="preserve">6. </w:t>
      </w:r>
      <w:r>
        <w:rPr>
          <w:rFonts w:hint="eastAsia"/>
          <w:sz w:val="24"/>
          <w:szCs w:val="24"/>
          <w:highlight w:val="none"/>
        </w:rPr>
        <w:t>支付</w:t>
      </w:r>
      <w:bookmarkEnd w:id="269"/>
      <w:bookmarkEnd w:id="270"/>
      <w:bookmarkEnd w:id="271"/>
      <w:bookmarkEnd w:id="272"/>
      <w:bookmarkEnd w:id="273"/>
      <w:bookmarkEnd w:id="274"/>
    </w:p>
    <w:p w14:paraId="72310993">
      <w:pPr>
        <w:spacing w:line="360" w:lineRule="auto"/>
        <w:ind w:left="210" w:leftChars="100"/>
        <w:jc w:val="left"/>
        <w:rPr>
          <w:rFonts w:cs="宋体"/>
          <w:bCs/>
          <w:szCs w:val="21"/>
          <w:highlight w:val="none"/>
        </w:rPr>
      </w:pPr>
      <w:r>
        <w:rPr>
          <w:rFonts w:cs="宋体"/>
          <w:szCs w:val="21"/>
          <w:highlight w:val="none"/>
        </w:rPr>
        <w:t xml:space="preserve">6.1 </w:t>
      </w:r>
      <w:r>
        <w:rPr>
          <w:rFonts w:hint="eastAsia" w:hAnsi="宋体" w:cs="宋体"/>
          <w:bCs/>
          <w:szCs w:val="21"/>
          <w:highlight w:val="none"/>
        </w:rPr>
        <w:t>支付货币</w:t>
      </w:r>
    </w:p>
    <w:p w14:paraId="5E492F62">
      <w:pPr>
        <w:snapToGrid w:val="0"/>
        <w:spacing w:line="360" w:lineRule="auto"/>
        <w:ind w:firstLine="420" w:firstLineChars="200"/>
        <w:jc w:val="left"/>
        <w:rPr>
          <w:rFonts w:cs="宋体"/>
          <w:bCs/>
          <w:szCs w:val="21"/>
          <w:highlight w:val="none"/>
        </w:rPr>
      </w:pPr>
      <w:r>
        <w:rPr>
          <w:rFonts w:hint="eastAsia" w:hAnsi="宋体" w:cs="宋体"/>
          <w:szCs w:val="21"/>
          <w:highlight w:val="none"/>
        </w:rPr>
        <w:t>除专用条件另有约定外，酬金均以人民币支付。涉及外币支付的，所采用的货币种类、比例和汇率在专用条件中约定。</w:t>
      </w:r>
    </w:p>
    <w:p w14:paraId="38AB9A7E">
      <w:pPr>
        <w:spacing w:line="360" w:lineRule="auto"/>
        <w:ind w:left="210" w:leftChars="100"/>
        <w:jc w:val="left"/>
        <w:rPr>
          <w:rFonts w:cs="宋体"/>
          <w:bCs/>
          <w:szCs w:val="21"/>
          <w:highlight w:val="none"/>
        </w:rPr>
      </w:pPr>
      <w:r>
        <w:rPr>
          <w:rFonts w:cs="宋体"/>
          <w:szCs w:val="21"/>
          <w:highlight w:val="none"/>
        </w:rPr>
        <w:t xml:space="preserve">6.2 </w:t>
      </w:r>
      <w:r>
        <w:rPr>
          <w:rFonts w:hint="eastAsia" w:hAnsi="宋体" w:cs="宋体"/>
          <w:szCs w:val="21"/>
          <w:highlight w:val="none"/>
        </w:rPr>
        <w:t>支付申请</w:t>
      </w:r>
    </w:p>
    <w:p w14:paraId="2A52B016">
      <w:pPr>
        <w:snapToGrid w:val="0"/>
        <w:spacing w:line="360" w:lineRule="auto"/>
        <w:ind w:firstLine="420" w:firstLineChars="200"/>
        <w:jc w:val="left"/>
        <w:rPr>
          <w:rFonts w:cs="宋体"/>
          <w:szCs w:val="21"/>
          <w:highlight w:val="none"/>
        </w:rPr>
      </w:pPr>
      <w:r>
        <w:rPr>
          <w:rFonts w:hint="eastAsia" w:hAnsi="宋体" w:cs="宋体"/>
          <w:szCs w:val="21"/>
          <w:highlight w:val="none"/>
        </w:rPr>
        <w:t>受托人应在本合同约定的每次应付款时间的</w:t>
      </w:r>
      <w:r>
        <w:rPr>
          <w:rFonts w:cs="宋体"/>
          <w:szCs w:val="21"/>
          <w:highlight w:val="none"/>
        </w:rPr>
        <w:t>7</w:t>
      </w:r>
      <w:r>
        <w:rPr>
          <w:rFonts w:hint="eastAsia" w:hAnsi="宋体" w:cs="宋体"/>
          <w:szCs w:val="21"/>
          <w:highlight w:val="none"/>
        </w:rPr>
        <w:t>天前，向委托人提交支付申请书。支付申请书应当说明当期应付款总额，并列出当期应支付的款项及其金额。</w:t>
      </w:r>
    </w:p>
    <w:p w14:paraId="413A0D71">
      <w:pPr>
        <w:spacing w:line="360" w:lineRule="auto"/>
        <w:ind w:left="210" w:leftChars="100"/>
        <w:jc w:val="left"/>
        <w:rPr>
          <w:rFonts w:cs="宋体"/>
          <w:szCs w:val="21"/>
          <w:highlight w:val="none"/>
        </w:rPr>
      </w:pPr>
      <w:r>
        <w:rPr>
          <w:rFonts w:cs="宋体"/>
          <w:szCs w:val="21"/>
          <w:highlight w:val="none"/>
        </w:rPr>
        <w:t xml:space="preserve">6.3 </w:t>
      </w:r>
      <w:r>
        <w:rPr>
          <w:rFonts w:hint="eastAsia" w:hAnsi="宋体" w:cs="宋体"/>
          <w:szCs w:val="21"/>
          <w:highlight w:val="none"/>
        </w:rPr>
        <w:t>支付酬金</w:t>
      </w:r>
    </w:p>
    <w:p w14:paraId="6B226C88">
      <w:pPr>
        <w:snapToGrid w:val="0"/>
        <w:spacing w:line="360" w:lineRule="auto"/>
        <w:jc w:val="left"/>
        <w:rPr>
          <w:rFonts w:cs="宋体"/>
          <w:szCs w:val="21"/>
          <w:highlight w:val="none"/>
        </w:rPr>
      </w:pPr>
      <w:r>
        <w:rPr>
          <w:rFonts w:hint="eastAsia" w:hAnsi="宋体" w:cs="宋体"/>
          <w:szCs w:val="21"/>
          <w:highlight w:val="none"/>
        </w:rPr>
        <w:t>支付的酬金包括正常工作酬金、附加工作酬金、合理化建议奖励金额及费用。</w:t>
      </w:r>
    </w:p>
    <w:p w14:paraId="22AA9E5C">
      <w:pPr>
        <w:spacing w:line="360" w:lineRule="auto"/>
        <w:ind w:left="210" w:leftChars="100"/>
        <w:jc w:val="left"/>
        <w:rPr>
          <w:rFonts w:cs="宋体"/>
          <w:bCs/>
          <w:szCs w:val="21"/>
          <w:highlight w:val="none"/>
        </w:rPr>
      </w:pPr>
      <w:r>
        <w:rPr>
          <w:rFonts w:cs="宋体"/>
          <w:szCs w:val="21"/>
          <w:highlight w:val="none"/>
        </w:rPr>
        <w:t xml:space="preserve">6.4 </w:t>
      </w:r>
      <w:r>
        <w:rPr>
          <w:rFonts w:hint="eastAsia" w:hAnsi="宋体" w:cs="宋体"/>
          <w:bCs/>
          <w:szCs w:val="21"/>
          <w:highlight w:val="none"/>
        </w:rPr>
        <w:t>有争议部分的付款</w:t>
      </w:r>
    </w:p>
    <w:p w14:paraId="0689FA21">
      <w:pPr>
        <w:snapToGrid w:val="0"/>
        <w:spacing w:line="360" w:lineRule="auto"/>
        <w:ind w:firstLine="420" w:firstLineChars="200"/>
        <w:jc w:val="left"/>
        <w:rPr>
          <w:rFonts w:cs="宋体"/>
          <w:szCs w:val="21"/>
          <w:highlight w:val="none"/>
        </w:rPr>
      </w:pPr>
      <w:r>
        <w:rPr>
          <w:rFonts w:hint="eastAsia" w:hAnsi="宋体" w:cs="宋体"/>
          <w:szCs w:val="21"/>
          <w:highlight w:val="none"/>
        </w:rPr>
        <w:t>委托人对受托人提交的支付申请书有异议时，应当在收到受托人提交的支付申请书后</w:t>
      </w:r>
      <w:r>
        <w:rPr>
          <w:rFonts w:cs="宋体"/>
          <w:szCs w:val="21"/>
          <w:highlight w:val="none"/>
        </w:rPr>
        <w:t>7</w:t>
      </w:r>
      <w:r>
        <w:rPr>
          <w:rFonts w:hint="eastAsia" w:hAnsi="宋体" w:cs="宋体"/>
          <w:szCs w:val="21"/>
          <w:highlight w:val="none"/>
        </w:rPr>
        <w:t>天内，以书面形式向受托人发出异议通知。无异议部分的款项应按期支付，</w:t>
      </w:r>
      <w:bookmarkStart w:id="275" w:name="_Hlk529843441"/>
      <w:r>
        <w:rPr>
          <w:rFonts w:hint="eastAsia" w:hAnsi="宋体" w:cs="宋体"/>
          <w:szCs w:val="21"/>
          <w:highlight w:val="none"/>
        </w:rPr>
        <w:t>有异议部分的款项按通用条件第</w:t>
      </w:r>
      <w:r>
        <w:rPr>
          <w:rFonts w:cs="宋体"/>
          <w:szCs w:val="21"/>
          <w:highlight w:val="none"/>
        </w:rPr>
        <w:t>7</w:t>
      </w:r>
      <w:r>
        <w:rPr>
          <w:rFonts w:hint="eastAsia" w:hAnsi="宋体" w:cs="宋体"/>
          <w:szCs w:val="21"/>
          <w:highlight w:val="none"/>
        </w:rPr>
        <w:t>条和专用条件第</w:t>
      </w:r>
      <w:r>
        <w:rPr>
          <w:rFonts w:cs="宋体"/>
          <w:szCs w:val="21"/>
          <w:highlight w:val="none"/>
        </w:rPr>
        <w:t>7</w:t>
      </w:r>
      <w:r>
        <w:rPr>
          <w:rFonts w:hint="eastAsia" w:hAnsi="宋体" w:cs="宋体"/>
          <w:szCs w:val="21"/>
          <w:highlight w:val="none"/>
        </w:rPr>
        <w:t>条约定办理。</w:t>
      </w:r>
      <w:bookmarkEnd w:id="275"/>
    </w:p>
    <w:p w14:paraId="764D7B22">
      <w:pPr>
        <w:pStyle w:val="5"/>
        <w:spacing w:before="0" w:after="0" w:line="240" w:lineRule="auto"/>
        <w:jc w:val="left"/>
        <w:rPr>
          <w:sz w:val="24"/>
          <w:szCs w:val="24"/>
          <w:highlight w:val="none"/>
        </w:rPr>
      </w:pPr>
      <w:bookmarkStart w:id="276" w:name="_Toc478380032"/>
      <w:bookmarkStart w:id="277" w:name="_Toc532553053"/>
      <w:bookmarkStart w:id="278" w:name="_Toc478373428"/>
      <w:bookmarkStart w:id="279" w:name="_Toc532553127"/>
      <w:bookmarkStart w:id="280" w:name="_Toc531850347"/>
      <w:bookmarkStart w:id="281" w:name="_Toc509302662"/>
      <w:r>
        <w:rPr>
          <w:sz w:val="24"/>
          <w:szCs w:val="24"/>
          <w:highlight w:val="none"/>
        </w:rPr>
        <w:t xml:space="preserve">7. </w:t>
      </w:r>
      <w:r>
        <w:rPr>
          <w:rFonts w:hint="eastAsia"/>
          <w:sz w:val="24"/>
          <w:szCs w:val="24"/>
          <w:highlight w:val="none"/>
        </w:rPr>
        <w:t>合同生效、变更、暂停、解除与终止</w:t>
      </w:r>
      <w:bookmarkEnd w:id="276"/>
      <w:bookmarkEnd w:id="277"/>
      <w:bookmarkEnd w:id="278"/>
      <w:bookmarkEnd w:id="279"/>
      <w:bookmarkEnd w:id="280"/>
      <w:bookmarkEnd w:id="281"/>
    </w:p>
    <w:p w14:paraId="1579BB91">
      <w:pPr>
        <w:spacing w:line="360" w:lineRule="auto"/>
        <w:ind w:left="210" w:leftChars="100"/>
        <w:jc w:val="left"/>
        <w:rPr>
          <w:rFonts w:cs="宋体"/>
          <w:szCs w:val="21"/>
          <w:highlight w:val="none"/>
        </w:rPr>
      </w:pPr>
      <w:r>
        <w:rPr>
          <w:rFonts w:cs="宋体"/>
          <w:szCs w:val="21"/>
          <w:highlight w:val="none"/>
        </w:rPr>
        <w:t xml:space="preserve">7.1 </w:t>
      </w:r>
      <w:r>
        <w:rPr>
          <w:rFonts w:hint="eastAsia" w:hAnsi="宋体" w:cs="宋体"/>
          <w:szCs w:val="21"/>
          <w:highlight w:val="none"/>
        </w:rPr>
        <w:t>生效</w:t>
      </w:r>
    </w:p>
    <w:p w14:paraId="7A1D7906">
      <w:pPr>
        <w:spacing w:line="360" w:lineRule="auto"/>
        <w:ind w:firstLine="420" w:firstLineChars="200"/>
        <w:jc w:val="left"/>
        <w:rPr>
          <w:rFonts w:cs="宋体"/>
          <w:szCs w:val="21"/>
          <w:highlight w:val="none"/>
        </w:rPr>
      </w:pPr>
      <w:r>
        <w:rPr>
          <w:rFonts w:hint="eastAsia" w:hAnsi="宋体" w:cs="宋体"/>
          <w:szCs w:val="21"/>
          <w:highlight w:val="none"/>
        </w:rPr>
        <w:t>除法律另有规定或者专用条件另有约定外，委托人和受托人的法定代表人或其授权受托人在协议书上签字并盖单位章后本合同生效。</w:t>
      </w:r>
    </w:p>
    <w:p w14:paraId="57B8C2BB">
      <w:pPr>
        <w:snapToGrid w:val="0"/>
        <w:spacing w:line="360" w:lineRule="auto"/>
        <w:ind w:left="210" w:leftChars="100"/>
        <w:jc w:val="left"/>
        <w:rPr>
          <w:rFonts w:cs="宋体"/>
          <w:bCs/>
          <w:szCs w:val="21"/>
          <w:highlight w:val="none"/>
        </w:rPr>
      </w:pPr>
      <w:r>
        <w:rPr>
          <w:rFonts w:cs="宋体"/>
          <w:szCs w:val="21"/>
          <w:highlight w:val="none"/>
        </w:rPr>
        <w:t xml:space="preserve">7.2 </w:t>
      </w:r>
      <w:r>
        <w:rPr>
          <w:rFonts w:hint="eastAsia" w:hAnsi="宋体" w:cs="宋体"/>
          <w:bCs/>
          <w:szCs w:val="21"/>
          <w:highlight w:val="none"/>
        </w:rPr>
        <w:t>变更</w:t>
      </w:r>
    </w:p>
    <w:p w14:paraId="66135AF8">
      <w:pPr>
        <w:snapToGrid w:val="0"/>
        <w:spacing w:line="360" w:lineRule="auto"/>
        <w:ind w:firstLine="420" w:firstLineChars="200"/>
        <w:jc w:val="left"/>
        <w:rPr>
          <w:rFonts w:cs="宋体"/>
          <w:szCs w:val="21"/>
          <w:highlight w:val="none"/>
        </w:rPr>
      </w:pPr>
      <w:r>
        <w:rPr>
          <w:rFonts w:cs="宋体"/>
          <w:szCs w:val="21"/>
          <w:highlight w:val="none"/>
        </w:rPr>
        <w:t xml:space="preserve">7.2.1 </w:t>
      </w:r>
      <w:r>
        <w:rPr>
          <w:rFonts w:hint="eastAsia" w:hAnsi="宋体" w:cs="宋体"/>
          <w:szCs w:val="21"/>
          <w:highlight w:val="none"/>
        </w:rPr>
        <w:t>任何一方提出变更请求时，双方经协商一致后可进行变更。</w:t>
      </w:r>
    </w:p>
    <w:p w14:paraId="0F95D089">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7.2.2 </w:t>
      </w:r>
      <w:r>
        <w:rPr>
          <w:rFonts w:hint="eastAsia" w:hAnsi="宋体" w:cs="宋体"/>
          <w:szCs w:val="21"/>
          <w:highlight w:val="none"/>
        </w:rPr>
        <w:t>除不可抗力外，因非受托人原因导致受托人履行合同期限延长、内容增加时，受托人应当将此情况与可能产生的影响及时通知委托人。增加的全过程工程咨询工作时间、工作内容应视为附加工作。附加工作酬金的确定方法在专用条件中约定。</w:t>
      </w:r>
    </w:p>
    <w:p w14:paraId="016DD597">
      <w:pPr>
        <w:adjustRightInd w:val="0"/>
        <w:snapToGrid w:val="0"/>
        <w:spacing w:line="360" w:lineRule="auto"/>
        <w:ind w:firstLine="420" w:firstLineChars="200"/>
        <w:jc w:val="left"/>
        <w:rPr>
          <w:rFonts w:cs="宋体"/>
          <w:kern w:val="0"/>
          <w:sz w:val="20"/>
          <w:highlight w:val="none"/>
        </w:rPr>
      </w:pPr>
      <w:r>
        <w:rPr>
          <w:rFonts w:cs="宋体"/>
          <w:szCs w:val="21"/>
          <w:highlight w:val="none"/>
        </w:rPr>
        <w:t xml:space="preserve">7.2.3 </w:t>
      </w:r>
      <w:r>
        <w:rPr>
          <w:rFonts w:hint="eastAsia" w:hAnsi="宋体" w:cs="宋体"/>
          <w:szCs w:val="21"/>
          <w:highlight w:val="none"/>
        </w:rPr>
        <w:t>合同生效后，如果实际情况发生变化使得受托人不能完成全部或部分工作时，受托人应立即通知委托人。除不可抗力外，其善后工作以及恢复服务的准备工作应为附加工作，附加工作酬金的确定方法在专用条件中约定。受托人用于恢复服务的准备时间</w:t>
      </w:r>
      <w:r>
        <w:rPr>
          <w:rFonts w:hint="eastAsia" w:hAnsi="宋体" w:cs="宋体"/>
          <w:kern w:val="0"/>
          <w:sz w:val="20"/>
          <w:highlight w:val="none"/>
        </w:rPr>
        <w:t>根据实际情况双方商议确定。</w:t>
      </w:r>
    </w:p>
    <w:p w14:paraId="6DA7AFB6">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7.2.4 </w:t>
      </w:r>
      <w:r>
        <w:rPr>
          <w:rFonts w:hint="eastAsia" w:hAnsi="宋体" w:cs="宋体"/>
          <w:szCs w:val="21"/>
          <w:highlight w:val="none"/>
        </w:rPr>
        <w:t>合同签订后，遇有与工程相关的法律法规、标准颁布或修订的，双方应遵照执行。由此引起全过程工程咨询服务的范围、时间、酬金变化的，双方应通过协商进行相应调整。</w:t>
      </w:r>
    </w:p>
    <w:p w14:paraId="550CB940">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7.2.5 </w:t>
      </w:r>
      <w:r>
        <w:rPr>
          <w:rFonts w:hint="eastAsia" w:hAnsi="宋体" w:cs="宋体"/>
          <w:szCs w:val="21"/>
          <w:highlight w:val="none"/>
        </w:rPr>
        <w:t>因非受托人原因造成工程概算投资额或建筑安装工程费增加时，正常工作酬金应作相应调整。调整方法在专用条件中约定。</w:t>
      </w:r>
    </w:p>
    <w:p w14:paraId="642BB36D">
      <w:pPr>
        <w:snapToGrid w:val="0"/>
        <w:spacing w:line="360" w:lineRule="auto"/>
        <w:ind w:firstLine="420" w:firstLineChars="200"/>
        <w:jc w:val="left"/>
        <w:rPr>
          <w:rFonts w:cs="宋体"/>
          <w:szCs w:val="21"/>
          <w:highlight w:val="none"/>
        </w:rPr>
      </w:pPr>
      <w:r>
        <w:rPr>
          <w:rFonts w:cs="宋体"/>
          <w:szCs w:val="21"/>
          <w:highlight w:val="none"/>
        </w:rPr>
        <w:t xml:space="preserve">7.2.6 </w:t>
      </w:r>
      <w:r>
        <w:rPr>
          <w:rFonts w:hint="eastAsia" w:hAnsi="宋体" w:cs="宋体"/>
          <w:szCs w:val="21"/>
          <w:highlight w:val="none"/>
        </w:rPr>
        <w:t>因工程规模、全过程工程咨询范围的变化导致受托人的正常工作量减少时，正常工作酬金应作相应调整。调整方法在专用条件中约定。</w:t>
      </w:r>
    </w:p>
    <w:p w14:paraId="7B8F3B01">
      <w:pPr>
        <w:spacing w:line="360" w:lineRule="auto"/>
        <w:ind w:left="210" w:leftChars="100" w:firstLine="210" w:firstLineChars="100"/>
        <w:jc w:val="left"/>
        <w:rPr>
          <w:rFonts w:cs="宋体"/>
          <w:szCs w:val="21"/>
          <w:highlight w:val="none"/>
        </w:rPr>
      </w:pPr>
      <w:r>
        <w:rPr>
          <w:rFonts w:cs="宋体"/>
          <w:szCs w:val="21"/>
          <w:highlight w:val="none"/>
        </w:rPr>
        <w:t xml:space="preserve">7.3 </w:t>
      </w:r>
      <w:r>
        <w:rPr>
          <w:rFonts w:hint="eastAsia" w:hAnsi="宋体" w:cs="宋体"/>
          <w:szCs w:val="21"/>
          <w:highlight w:val="none"/>
        </w:rPr>
        <w:t>暂停与解除</w:t>
      </w:r>
    </w:p>
    <w:p w14:paraId="40D79079">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除双方协商一致可以解除本合同外，当一方无正当理由未履行本合同约定的义务时，另一方可以根据本合同约定暂停履行本合同直至解除本合同。</w:t>
      </w:r>
    </w:p>
    <w:p w14:paraId="28CE3638">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7.3.1 </w:t>
      </w:r>
      <w:r>
        <w:rPr>
          <w:rFonts w:hint="eastAsia" w:hAnsi="宋体" w:cs="宋体"/>
          <w:szCs w:val="21"/>
          <w:highlight w:val="none"/>
        </w:rPr>
        <w:t>在本合同有效期内，由于双方无法预见和控制的原因导致本合同全部或部分无法继续履行或继续履行已无意义，经双方协商一致，可以解除本合同或受托人的部分义务。在解除之前，受托人应作出合理安排，使开支减至最小。</w:t>
      </w:r>
    </w:p>
    <w:p w14:paraId="0A02C808">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因解除本合同或解除受托人的部分义务导致受托人遭受的损失，除依法可以免除责任的情况外，应由委托人予以补偿，补偿金额由双方协商确定。</w:t>
      </w:r>
    </w:p>
    <w:p w14:paraId="27C08B89">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解除本合同的协议必须采取书面形式，协议未达成之前，本合同仍然有效。</w:t>
      </w:r>
    </w:p>
    <w:p w14:paraId="20B5DC31">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7.3.2 </w:t>
      </w:r>
      <w:r>
        <w:rPr>
          <w:rFonts w:hint="eastAsia" w:hAnsi="宋体" w:cs="宋体"/>
          <w:szCs w:val="21"/>
          <w:highlight w:val="none"/>
        </w:rPr>
        <w:t>在本合同有效期内，因非受托人的原因导致工程全部或部分暂停，委托人应通知受托人要求暂停全部或部分工作。受托人应立即安排停止工作，并将开支减至最小。除不可抗力外，由此导致受托人遭受的损失应由委托人予以补偿。</w:t>
      </w:r>
    </w:p>
    <w:p w14:paraId="7BCCF9F8">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7.3.3 </w:t>
      </w:r>
      <w:r>
        <w:rPr>
          <w:rFonts w:hint="eastAsia" w:hAnsi="宋体" w:cs="宋体"/>
          <w:szCs w:val="21"/>
          <w:highlight w:val="none"/>
        </w:rPr>
        <w:t>当受托人无正当理由未履行本合同约定的义务时，委托人应通知受托人限期改正。若委托人在受托人接到通知后的</w:t>
      </w:r>
      <w:r>
        <w:rPr>
          <w:rFonts w:cs="宋体"/>
          <w:szCs w:val="21"/>
          <w:highlight w:val="none"/>
        </w:rPr>
        <w:t>7</w:t>
      </w:r>
      <w:r>
        <w:rPr>
          <w:rFonts w:hint="eastAsia" w:hAnsi="宋体" w:cs="宋体"/>
          <w:szCs w:val="21"/>
          <w:highlight w:val="none"/>
        </w:rPr>
        <w:t>天内未收到受托人书面形式的合理解释，则可在</w:t>
      </w:r>
      <w:r>
        <w:rPr>
          <w:rFonts w:cs="宋体"/>
          <w:szCs w:val="21"/>
          <w:highlight w:val="none"/>
        </w:rPr>
        <w:t>7</w:t>
      </w:r>
      <w:r>
        <w:rPr>
          <w:rFonts w:hint="eastAsia" w:hAnsi="宋体" w:cs="宋体"/>
          <w:szCs w:val="21"/>
          <w:highlight w:val="none"/>
        </w:rPr>
        <w:t>天内发出解除本合同的通知，自通知到达受托人时本合同解除。委托人应将全过程工程咨询</w:t>
      </w:r>
      <w:r>
        <w:rPr>
          <w:rFonts w:hint="eastAsia" w:hAnsi="宋体" w:cs="宋体"/>
          <w:kern w:val="0"/>
          <w:szCs w:val="21"/>
          <w:highlight w:val="none"/>
        </w:rPr>
        <w:t>的</w:t>
      </w:r>
      <w:r>
        <w:rPr>
          <w:rFonts w:hint="eastAsia" w:hAnsi="宋体" w:cs="宋体"/>
          <w:szCs w:val="21"/>
          <w:highlight w:val="none"/>
        </w:rPr>
        <w:t>酬金支付至</w:t>
      </w:r>
      <w:r>
        <w:rPr>
          <w:rFonts w:hint="eastAsia" w:hAnsi="宋体" w:cs="宋体"/>
          <w:kern w:val="0"/>
          <w:szCs w:val="21"/>
          <w:highlight w:val="none"/>
        </w:rPr>
        <w:t>限期改正通知到达受托人之日</w:t>
      </w:r>
      <w:r>
        <w:rPr>
          <w:rFonts w:hint="eastAsia" w:hAnsi="宋体" w:cs="宋体"/>
          <w:szCs w:val="21"/>
          <w:highlight w:val="none"/>
        </w:rPr>
        <w:t>，但受托人应承担第</w:t>
      </w:r>
      <w:r>
        <w:rPr>
          <w:rFonts w:cs="宋体"/>
          <w:szCs w:val="21"/>
          <w:highlight w:val="none"/>
        </w:rPr>
        <w:t>5.1</w:t>
      </w:r>
      <w:r>
        <w:rPr>
          <w:rFonts w:hint="eastAsia" w:hAnsi="宋体" w:cs="宋体"/>
          <w:szCs w:val="21"/>
          <w:highlight w:val="none"/>
        </w:rPr>
        <w:t>款约定的责任。</w:t>
      </w:r>
    </w:p>
    <w:p w14:paraId="019EABD0">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7.3.4 </w:t>
      </w:r>
      <w:r>
        <w:rPr>
          <w:rFonts w:hint="eastAsia" w:hAnsi="宋体" w:cs="宋体"/>
          <w:szCs w:val="21"/>
          <w:highlight w:val="none"/>
        </w:rPr>
        <w:t>受托人在专用条件</w:t>
      </w:r>
      <w:r>
        <w:rPr>
          <w:rFonts w:cs="宋体"/>
          <w:szCs w:val="21"/>
          <w:highlight w:val="none"/>
        </w:rPr>
        <w:t>6.3</w:t>
      </w:r>
      <w:r>
        <w:rPr>
          <w:rFonts w:hint="eastAsia" w:hAnsi="宋体" w:cs="宋体"/>
          <w:szCs w:val="21"/>
          <w:highlight w:val="none"/>
        </w:rPr>
        <w:t>中约定的支付之日起</w:t>
      </w:r>
      <w:r>
        <w:rPr>
          <w:rFonts w:cs="宋体"/>
          <w:szCs w:val="21"/>
          <w:highlight w:val="none"/>
        </w:rPr>
        <w:t>28</w:t>
      </w:r>
      <w:r>
        <w:rPr>
          <w:rFonts w:hint="eastAsia" w:hAnsi="宋体" w:cs="宋体"/>
          <w:szCs w:val="21"/>
          <w:highlight w:val="none"/>
        </w:rPr>
        <w:t>天后仍未收到委托人按本合同约定应付的款项，可向委托人发出催付通知。委托人接到通知</w:t>
      </w:r>
      <w:r>
        <w:rPr>
          <w:rFonts w:cs="宋体"/>
          <w:szCs w:val="21"/>
          <w:highlight w:val="none"/>
        </w:rPr>
        <w:t>14</w:t>
      </w:r>
      <w:r>
        <w:rPr>
          <w:rFonts w:hint="eastAsia" w:hAnsi="宋体" w:cs="宋体"/>
          <w:szCs w:val="21"/>
          <w:highlight w:val="none"/>
        </w:rPr>
        <w:t>天后仍未支付或未提出受托人可以接受的延期支付安排，受托人可向委托人发出暂停工作的通知并可自行暂停全部或部分工作。暂停工作后</w:t>
      </w:r>
      <w:r>
        <w:rPr>
          <w:rFonts w:cs="宋体"/>
          <w:szCs w:val="21"/>
          <w:highlight w:val="none"/>
        </w:rPr>
        <w:t>14</w:t>
      </w:r>
      <w:r>
        <w:rPr>
          <w:rFonts w:hint="eastAsia" w:hAnsi="宋体" w:cs="宋体"/>
          <w:szCs w:val="21"/>
          <w:highlight w:val="none"/>
        </w:rPr>
        <w:t>天内受托人仍未获得委托人应付酬金或委托人的合理答复，受托人可向委托人发出解除本合同的通知，自通知到达委托人时本合同解除。委托人应承担第</w:t>
      </w:r>
      <w:r>
        <w:rPr>
          <w:rFonts w:cs="宋体"/>
          <w:szCs w:val="21"/>
          <w:highlight w:val="none"/>
        </w:rPr>
        <w:t>5.2.3</w:t>
      </w:r>
      <w:r>
        <w:rPr>
          <w:rFonts w:hint="eastAsia" w:hAnsi="宋体" w:cs="宋体"/>
          <w:szCs w:val="21"/>
          <w:highlight w:val="none"/>
        </w:rPr>
        <w:t>款约定的责任。</w:t>
      </w:r>
    </w:p>
    <w:p w14:paraId="3F3202D6">
      <w:pPr>
        <w:snapToGrid w:val="0"/>
        <w:spacing w:line="360" w:lineRule="auto"/>
        <w:ind w:firstLine="420" w:firstLineChars="200"/>
        <w:jc w:val="left"/>
        <w:rPr>
          <w:rFonts w:cs="宋体"/>
          <w:kern w:val="0"/>
          <w:szCs w:val="21"/>
          <w:highlight w:val="none"/>
        </w:rPr>
      </w:pPr>
      <w:r>
        <w:rPr>
          <w:rFonts w:cs="宋体"/>
          <w:szCs w:val="21"/>
          <w:highlight w:val="none"/>
        </w:rPr>
        <w:t xml:space="preserve">7.3.5 </w:t>
      </w:r>
      <w:r>
        <w:rPr>
          <w:rFonts w:hint="eastAsia" w:hAnsi="宋体" w:cs="宋体"/>
          <w:szCs w:val="21"/>
          <w:highlight w:val="none"/>
        </w:rPr>
        <w:t>因不可抗力致使本合同部分或全部不能履行时，一方应立即通知另一方，可暂停或解除本合同。</w:t>
      </w:r>
    </w:p>
    <w:p w14:paraId="7CA38F07">
      <w:pPr>
        <w:snapToGrid w:val="0"/>
        <w:spacing w:line="360" w:lineRule="auto"/>
        <w:ind w:firstLine="420" w:firstLineChars="200"/>
        <w:jc w:val="left"/>
        <w:rPr>
          <w:rFonts w:cs="宋体"/>
          <w:szCs w:val="21"/>
          <w:highlight w:val="none"/>
        </w:rPr>
      </w:pPr>
      <w:r>
        <w:rPr>
          <w:rFonts w:cs="宋体"/>
          <w:szCs w:val="21"/>
          <w:highlight w:val="none"/>
        </w:rPr>
        <w:t xml:space="preserve">7.3.6 </w:t>
      </w:r>
      <w:r>
        <w:rPr>
          <w:rFonts w:hint="eastAsia" w:hAnsi="宋体" w:cs="宋体"/>
          <w:szCs w:val="21"/>
          <w:highlight w:val="none"/>
        </w:rPr>
        <w:t>本合同解除后，本合同约定的有关结算、清理、争议解决方式的条件仍然有效。</w:t>
      </w:r>
    </w:p>
    <w:p w14:paraId="29B2E932">
      <w:pPr>
        <w:snapToGrid w:val="0"/>
        <w:spacing w:line="360" w:lineRule="auto"/>
        <w:ind w:left="210" w:leftChars="100"/>
        <w:jc w:val="left"/>
        <w:rPr>
          <w:rFonts w:cs="宋体"/>
          <w:bCs/>
          <w:szCs w:val="21"/>
          <w:highlight w:val="none"/>
        </w:rPr>
      </w:pPr>
      <w:r>
        <w:rPr>
          <w:rFonts w:cs="宋体"/>
          <w:szCs w:val="21"/>
          <w:highlight w:val="none"/>
        </w:rPr>
        <w:t xml:space="preserve">7.4 </w:t>
      </w:r>
      <w:r>
        <w:rPr>
          <w:rFonts w:hint="eastAsia" w:hAnsi="宋体" w:cs="宋体"/>
          <w:bCs/>
          <w:szCs w:val="21"/>
          <w:highlight w:val="none"/>
        </w:rPr>
        <w:t>终止</w:t>
      </w:r>
    </w:p>
    <w:p w14:paraId="4FA8DB23">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以下条件全部满足时，本合同即告终止：</w:t>
      </w:r>
    </w:p>
    <w:p w14:paraId="1BEB9B7E">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）受托人完成本合同约定的全部工作；</w:t>
      </w:r>
    </w:p>
    <w:p w14:paraId="38B8F914">
      <w:pPr>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）委托人与受托人结清并支付全部酬金。</w:t>
      </w:r>
    </w:p>
    <w:p w14:paraId="2B3858F9">
      <w:pPr>
        <w:pStyle w:val="5"/>
        <w:spacing w:before="0" w:after="0" w:line="240" w:lineRule="auto"/>
        <w:jc w:val="left"/>
        <w:rPr>
          <w:sz w:val="24"/>
          <w:szCs w:val="24"/>
          <w:highlight w:val="none"/>
        </w:rPr>
      </w:pPr>
      <w:bookmarkStart w:id="282" w:name="_Toc532553128"/>
      <w:bookmarkStart w:id="283" w:name="_Toc532553054"/>
      <w:bookmarkStart w:id="284" w:name="_Toc478373429"/>
      <w:bookmarkStart w:id="285" w:name="_Toc478380033"/>
      <w:bookmarkStart w:id="286" w:name="_Toc531850348"/>
      <w:bookmarkStart w:id="287" w:name="_Toc509302663"/>
      <w:r>
        <w:rPr>
          <w:sz w:val="24"/>
          <w:szCs w:val="24"/>
          <w:highlight w:val="none"/>
        </w:rPr>
        <w:t xml:space="preserve">8. </w:t>
      </w:r>
      <w:r>
        <w:rPr>
          <w:rFonts w:hint="eastAsia"/>
          <w:sz w:val="24"/>
          <w:szCs w:val="24"/>
          <w:highlight w:val="none"/>
        </w:rPr>
        <w:t>争议解决</w:t>
      </w:r>
      <w:bookmarkEnd w:id="282"/>
      <w:bookmarkEnd w:id="283"/>
      <w:bookmarkEnd w:id="284"/>
      <w:bookmarkEnd w:id="285"/>
      <w:bookmarkEnd w:id="286"/>
      <w:bookmarkEnd w:id="287"/>
    </w:p>
    <w:p w14:paraId="2BBA00BB">
      <w:pPr>
        <w:snapToGrid w:val="0"/>
        <w:spacing w:line="360" w:lineRule="auto"/>
        <w:ind w:left="210" w:leftChars="100"/>
        <w:jc w:val="left"/>
        <w:rPr>
          <w:rFonts w:cs="宋体"/>
          <w:bCs/>
          <w:szCs w:val="21"/>
          <w:highlight w:val="none"/>
        </w:rPr>
      </w:pPr>
      <w:r>
        <w:rPr>
          <w:rFonts w:cs="宋体"/>
          <w:szCs w:val="21"/>
          <w:highlight w:val="none"/>
        </w:rPr>
        <w:t>8.1</w:t>
      </w:r>
      <w:r>
        <w:rPr>
          <w:rFonts w:hint="eastAsia" w:hAnsi="宋体" w:cs="宋体"/>
          <w:bCs/>
          <w:szCs w:val="21"/>
          <w:highlight w:val="none"/>
        </w:rPr>
        <w:t>协商</w:t>
      </w:r>
    </w:p>
    <w:p w14:paraId="19BAC939">
      <w:pPr>
        <w:snapToGrid w:val="0"/>
        <w:spacing w:line="360" w:lineRule="auto"/>
        <w:ind w:firstLine="420" w:firstLineChars="200"/>
        <w:jc w:val="left"/>
        <w:rPr>
          <w:rFonts w:cs="宋体"/>
          <w:bCs/>
          <w:szCs w:val="21"/>
          <w:highlight w:val="none"/>
        </w:rPr>
      </w:pPr>
      <w:r>
        <w:rPr>
          <w:rFonts w:hint="eastAsia" w:hAnsi="宋体" w:cs="宋体"/>
          <w:szCs w:val="21"/>
          <w:highlight w:val="none"/>
        </w:rPr>
        <w:t>双方应本着诚信原则协商解决彼此间的争议。</w:t>
      </w:r>
    </w:p>
    <w:p w14:paraId="2DC64788">
      <w:pPr>
        <w:snapToGrid w:val="0"/>
        <w:spacing w:line="360" w:lineRule="auto"/>
        <w:ind w:left="210" w:leftChars="100"/>
        <w:jc w:val="left"/>
        <w:rPr>
          <w:rFonts w:cs="宋体"/>
          <w:bCs/>
          <w:szCs w:val="21"/>
          <w:highlight w:val="none"/>
        </w:rPr>
      </w:pPr>
      <w:r>
        <w:rPr>
          <w:rFonts w:cs="宋体"/>
          <w:szCs w:val="21"/>
          <w:highlight w:val="none"/>
        </w:rPr>
        <w:t>8.2</w:t>
      </w:r>
      <w:r>
        <w:rPr>
          <w:rFonts w:hint="eastAsia" w:hAnsi="宋体" w:cs="宋体"/>
          <w:bCs/>
          <w:szCs w:val="21"/>
          <w:highlight w:val="none"/>
        </w:rPr>
        <w:t>调解</w:t>
      </w:r>
    </w:p>
    <w:p w14:paraId="2AB2EC3F">
      <w:pPr>
        <w:snapToGrid w:val="0"/>
        <w:spacing w:line="360" w:lineRule="auto"/>
        <w:ind w:firstLine="420" w:firstLineChars="200"/>
        <w:jc w:val="left"/>
        <w:rPr>
          <w:rFonts w:cs="宋体"/>
          <w:bCs/>
          <w:szCs w:val="21"/>
          <w:highlight w:val="none"/>
        </w:rPr>
      </w:pPr>
      <w:r>
        <w:rPr>
          <w:rFonts w:hint="eastAsia" w:hAnsi="宋体" w:cs="宋体"/>
          <w:szCs w:val="21"/>
          <w:highlight w:val="none"/>
        </w:rPr>
        <w:t>如果双方不能在</w:t>
      </w:r>
      <w:r>
        <w:rPr>
          <w:rFonts w:cs="宋体"/>
          <w:szCs w:val="21"/>
          <w:highlight w:val="none"/>
        </w:rPr>
        <w:t>14</w:t>
      </w:r>
      <w:r>
        <w:rPr>
          <w:rFonts w:hint="eastAsia" w:hAnsi="宋体" w:cs="宋体"/>
          <w:szCs w:val="21"/>
          <w:highlight w:val="none"/>
        </w:rPr>
        <w:t>天内或双方商定的其他时间内解决本合同争议，可以将其提交给专用条件约定的或事后达成协议的调解人进行调解。</w:t>
      </w:r>
    </w:p>
    <w:p w14:paraId="2D1DFD70">
      <w:pPr>
        <w:snapToGrid w:val="0"/>
        <w:spacing w:line="360" w:lineRule="auto"/>
        <w:ind w:left="210" w:leftChars="100"/>
        <w:jc w:val="left"/>
        <w:rPr>
          <w:rFonts w:cs="宋体"/>
          <w:bCs/>
          <w:szCs w:val="21"/>
          <w:highlight w:val="none"/>
        </w:rPr>
      </w:pPr>
      <w:r>
        <w:rPr>
          <w:rFonts w:cs="宋体"/>
          <w:szCs w:val="21"/>
          <w:highlight w:val="none"/>
        </w:rPr>
        <w:t>8.3</w:t>
      </w:r>
      <w:r>
        <w:rPr>
          <w:rFonts w:hint="eastAsia" w:hAnsi="宋体" w:cs="宋体"/>
          <w:bCs/>
          <w:szCs w:val="21"/>
          <w:highlight w:val="none"/>
        </w:rPr>
        <w:t>仲裁或诉讼</w:t>
      </w:r>
    </w:p>
    <w:p w14:paraId="72906F47">
      <w:pPr>
        <w:snapToGrid w:val="0"/>
        <w:spacing w:line="360" w:lineRule="auto"/>
        <w:ind w:firstLine="420" w:firstLineChars="200"/>
        <w:jc w:val="left"/>
        <w:rPr>
          <w:rFonts w:cs="宋体"/>
          <w:szCs w:val="21"/>
          <w:highlight w:val="none"/>
        </w:rPr>
      </w:pPr>
      <w:r>
        <w:rPr>
          <w:rFonts w:hint="eastAsia" w:hAnsi="宋体" w:cs="宋体"/>
          <w:szCs w:val="21"/>
          <w:highlight w:val="none"/>
        </w:rPr>
        <w:t>双方均有权不经调解直接向专用条件约定的仲裁机构申请仲裁或向有管辖权的人民法院提起诉讼。</w:t>
      </w:r>
    </w:p>
    <w:p w14:paraId="2A09DC79">
      <w:pPr>
        <w:pStyle w:val="5"/>
        <w:spacing w:before="0" w:after="0" w:line="240" w:lineRule="auto"/>
        <w:jc w:val="left"/>
        <w:rPr>
          <w:sz w:val="24"/>
          <w:szCs w:val="24"/>
          <w:highlight w:val="none"/>
        </w:rPr>
      </w:pPr>
      <w:bookmarkStart w:id="288" w:name="_Toc532553055"/>
      <w:bookmarkStart w:id="289" w:name="_Toc478373430"/>
      <w:bookmarkStart w:id="290" w:name="_Toc478380034"/>
      <w:bookmarkStart w:id="291" w:name="_Toc532553129"/>
      <w:bookmarkStart w:id="292" w:name="_Toc509302664"/>
      <w:bookmarkStart w:id="293" w:name="_Toc531850349"/>
      <w:r>
        <w:rPr>
          <w:sz w:val="24"/>
          <w:szCs w:val="24"/>
          <w:highlight w:val="none"/>
        </w:rPr>
        <w:t xml:space="preserve">9. </w:t>
      </w:r>
      <w:r>
        <w:rPr>
          <w:rFonts w:hint="eastAsia"/>
          <w:sz w:val="24"/>
          <w:szCs w:val="24"/>
          <w:highlight w:val="none"/>
        </w:rPr>
        <w:t>其他</w:t>
      </w:r>
      <w:bookmarkEnd w:id="288"/>
      <w:bookmarkEnd w:id="289"/>
      <w:bookmarkEnd w:id="290"/>
      <w:bookmarkEnd w:id="291"/>
      <w:bookmarkEnd w:id="292"/>
      <w:bookmarkEnd w:id="293"/>
    </w:p>
    <w:p w14:paraId="575BD42A">
      <w:pPr>
        <w:spacing w:line="360" w:lineRule="auto"/>
        <w:ind w:left="210" w:leftChars="100"/>
        <w:jc w:val="left"/>
        <w:rPr>
          <w:rFonts w:cs="宋体"/>
          <w:bCs/>
          <w:szCs w:val="21"/>
          <w:highlight w:val="none"/>
        </w:rPr>
      </w:pPr>
      <w:r>
        <w:rPr>
          <w:rFonts w:cs="宋体"/>
          <w:szCs w:val="21"/>
          <w:highlight w:val="none"/>
        </w:rPr>
        <w:t xml:space="preserve">9.1 </w:t>
      </w:r>
      <w:r>
        <w:rPr>
          <w:rFonts w:hint="eastAsia" w:hAnsi="宋体" w:cs="宋体"/>
          <w:bCs/>
          <w:szCs w:val="21"/>
          <w:highlight w:val="none"/>
        </w:rPr>
        <w:t>外出考察费用</w:t>
      </w:r>
    </w:p>
    <w:p w14:paraId="78E730A9">
      <w:pPr>
        <w:snapToGrid w:val="0"/>
        <w:spacing w:line="360" w:lineRule="auto"/>
        <w:ind w:firstLine="420" w:firstLineChars="200"/>
        <w:jc w:val="left"/>
        <w:rPr>
          <w:rFonts w:cs="宋体"/>
          <w:b/>
          <w:szCs w:val="21"/>
          <w:highlight w:val="none"/>
        </w:rPr>
      </w:pPr>
      <w:r>
        <w:rPr>
          <w:rFonts w:hint="eastAsia" w:hAnsi="宋体" w:cs="宋体"/>
          <w:szCs w:val="21"/>
          <w:highlight w:val="none"/>
        </w:rPr>
        <w:t>由委托人提出的外出考察，要求受托人参加或负责的，相应费用由委托人支付。</w:t>
      </w:r>
    </w:p>
    <w:p w14:paraId="5842C8B1">
      <w:pPr>
        <w:snapToGrid w:val="0"/>
        <w:spacing w:line="360" w:lineRule="auto"/>
        <w:ind w:left="210" w:leftChars="100"/>
        <w:jc w:val="left"/>
        <w:rPr>
          <w:rFonts w:cs="宋体"/>
          <w:bCs/>
          <w:szCs w:val="21"/>
          <w:highlight w:val="none"/>
        </w:rPr>
      </w:pPr>
      <w:r>
        <w:rPr>
          <w:rFonts w:cs="宋体"/>
          <w:szCs w:val="21"/>
          <w:highlight w:val="none"/>
        </w:rPr>
        <w:t xml:space="preserve">9.2 </w:t>
      </w:r>
      <w:r>
        <w:rPr>
          <w:rFonts w:hint="eastAsia" w:hAnsi="宋体" w:cs="宋体"/>
          <w:bCs/>
          <w:szCs w:val="21"/>
          <w:highlight w:val="none"/>
        </w:rPr>
        <w:t>检测费用</w:t>
      </w:r>
    </w:p>
    <w:p w14:paraId="151A0D8A">
      <w:pPr>
        <w:snapToGrid w:val="0"/>
        <w:spacing w:line="360" w:lineRule="auto"/>
        <w:ind w:firstLine="420" w:firstLineChars="200"/>
        <w:jc w:val="left"/>
        <w:rPr>
          <w:rFonts w:cs="宋体"/>
          <w:bCs/>
          <w:szCs w:val="21"/>
          <w:highlight w:val="none"/>
        </w:rPr>
      </w:pPr>
      <w:r>
        <w:rPr>
          <w:rFonts w:hint="eastAsia" w:hAnsi="宋体" w:cs="宋体"/>
          <w:szCs w:val="21"/>
          <w:highlight w:val="none"/>
        </w:rPr>
        <w:t>委托人要求受托人进行的材料和设备检测所发生的费用，由委托人支付，支付时间在专用条件中约定。</w:t>
      </w:r>
    </w:p>
    <w:p w14:paraId="23861571">
      <w:pPr>
        <w:snapToGrid w:val="0"/>
        <w:spacing w:line="360" w:lineRule="auto"/>
        <w:ind w:left="210" w:leftChars="100"/>
        <w:jc w:val="left"/>
        <w:rPr>
          <w:rFonts w:cs="宋体"/>
          <w:bCs/>
          <w:szCs w:val="21"/>
          <w:highlight w:val="none"/>
        </w:rPr>
      </w:pPr>
      <w:r>
        <w:rPr>
          <w:rFonts w:cs="宋体"/>
          <w:szCs w:val="21"/>
          <w:highlight w:val="none"/>
        </w:rPr>
        <w:t xml:space="preserve">9.3 </w:t>
      </w:r>
      <w:r>
        <w:rPr>
          <w:rFonts w:hint="eastAsia" w:hAnsi="宋体" w:cs="宋体"/>
          <w:bCs/>
          <w:szCs w:val="21"/>
          <w:highlight w:val="none"/>
        </w:rPr>
        <w:t>咨询费用</w:t>
      </w:r>
    </w:p>
    <w:p w14:paraId="69F14D44">
      <w:pPr>
        <w:snapToGrid w:val="0"/>
        <w:spacing w:line="360" w:lineRule="auto"/>
        <w:ind w:firstLine="420" w:firstLineChars="200"/>
        <w:jc w:val="left"/>
        <w:rPr>
          <w:rFonts w:cs="宋体"/>
          <w:szCs w:val="21"/>
          <w:highlight w:val="none"/>
        </w:rPr>
      </w:pPr>
      <w:r>
        <w:rPr>
          <w:rFonts w:hint="eastAsia" w:hAnsi="宋体" w:cs="宋体"/>
          <w:szCs w:val="21"/>
          <w:highlight w:val="none"/>
        </w:rPr>
        <w:t>经委托人同意，根据工程需要由受托人组织的相关咨询论证会以及聘请相关专家等发生的费用由委托人支付，支付时间在专用条件中约定。</w:t>
      </w:r>
    </w:p>
    <w:p w14:paraId="692E12E6">
      <w:pPr>
        <w:snapToGrid w:val="0"/>
        <w:spacing w:line="360" w:lineRule="auto"/>
        <w:ind w:left="210" w:leftChars="100"/>
        <w:jc w:val="left"/>
        <w:rPr>
          <w:rFonts w:cs="宋体"/>
          <w:bCs/>
          <w:szCs w:val="21"/>
          <w:highlight w:val="none"/>
        </w:rPr>
      </w:pPr>
      <w:r>
        <w:rPr>
          <w:rFonts w:cs="宋体"/>
          <w:szCs w:val="21"/>
          <w:highlight w:val="none"/>
        </w:rPr>
        <w:t xml:space="preserve">9.4 </w:t>
      </w:r>
      <w:r>
        <w:rPr>
          <w:rFonts w:hint="eastAsia" w:hAnsi="宋体" w:cs="宋体"/>
          <w:bCs/>
          <w:szCs w:val="21"/>
          <w:highlight w:val="none"/>
        </w:rPr>
        <w:t>奖励</w:t>
      </w:r>
    </w:p>
    <w:p w14:paraId="279802A8">
      <w:pPr>
        <w:snapToGrid w:val="0"/>
        <w:spacing w:line="360" w:lineRule="auto"/>
        <w:ind w:firstLine="420" w:firstLineChars="200"/>
        <w:jc w:val="left"/>
        <w:rPr>
          <w:rFonts w:cs="宋体"/>
          <w:szCs w:val="21"/>
          <w:highlight w:val="none"/>
        </w:rPr>
      </w:pPr>
      <w:r>
        <w:rPr>
          <w:rFonts w:hint="eastAsia" w:hAnsi="宋体" w:cs="宋体"/>
          <w:szCs w:val="21"/>
          <w:highlight w:val="none"/>
        </w:rPr>
        <w:t>受托人在服务过程中提出的合理化建议，使委托人获得经济效益的，双方在专用条件中约定奖励金额的确定方法。奖励金额在合理化建议被采纳后，与最近一期的正常工作酬金同期支付。</w:t>
      </w:r>
    </w:p>
    <w:p w14:paraId="0DAABF9A">
      <w:pPr>
        <w:snapToGrid w:val="0"/>
        <w:spacing w:line="360" w:lineRule="auto"/>
        <w:ind w:left="210" w:leftChars="100"/>
        <w:jc w:val="left"/>
        <w:rPr>
          <w:rFonts w:cs="宋体"/>
          <w:bCs/>
          <w:szCs w:val="21"/>
          <w:highlight w:val="none"/>
        </w:rPr>
      </w:pPr>
      <w:r>
        <w:rPr>
          <w:rFonts w:cs="宋体"/>
          <w:szCs w:val="21"/>
          <w:highlight w:val="none"/>
        </w:rPr>
        <w:t xml:space="preserve">9.5 </w:t>
      </w:r>
      <w:r>
        <w:rPr>
          <w:rFonts w:hint="eastAsia" w:hAnsi="宋体" w:cs="宋体"/>
          <w:bCs/>
          <w:szCs w:val="21"/>
          <w:highlight w:val="none"/>
        </w:rPr>
        <w:t>守法诚信</w:t>
      </w:r>
    </w:p>
    <w:p w14:paraId="6A851EE1">
      <w:pPr>
        <w:snapToGrid w:val="0"/>
        <w:spacing w:line="360" w:lineRule="auto"/>
        <w:ind w:firstLine="420" w:firstLineChars="200"/>
        <w:jc w:val="left"/>
        <w:rPr>
          <w:rFonts w:cs="宋体"/>
          <w:bCs/>
          <w:szCs w:val="21"/>
          <w:highlight w:val="none"/>
        </w:rPr>
      </w:pPr>
      <w:r>
        <w:rPr>
          <w:rFonts w:hint="eastAsia" w:hAnsi="宋体" w:cs="宋体"/>
          <w:szCs w:val="21"/>
          <w:highlight w:val="none"/>
        </w:rPr>
        <w:t>受托人及其工作人员不得从与其他参建方处获得任何经济利益。</w:t>
      </w:r>
    </w:p>
    <w:p w14:paraId="0FFE96D3">
      <w:pPr>
        <w:snapToGrid w:val="0"/>
        <w:spacing w:line="360" w:lineRule="auto"/>
        <w:ind w:left="210" w:leftChars="100"/>
        <w:jc w:val="left"/>
        <w:rPr>
          <w:rFonts w:cs="宋体"/>
          <w:bCs/>
          <w:szCs w:val="21"/>
          <w:highlight w:val="none"/>
        </w:rPr>
      </w:pPr>
      <w:r>
        <w:rPr>
          <w:rFonts w:cs="宋体"/>
          <w:szCs w:val="21"/>
          <w:highlight w:val="none"/>
        </w:rPr>
        <w:t xml:space="preserve">9.6 </w:t>
      </w:r>
      <w:r>
        <w:rPr>
          <w:rFonts w:hint="eastAsia" w:hAnsi="宋体" w:cs="宋体"/>
          <w:bCs/>
          <w:szCs w:val="21"/>
          <w:highlight w:val="none"/>
        </w:rPr>
        <w:t>保密</w:t>
      </w:r>
    </w:p>
    <w:p w14:paraId="34ECE482">
      <w:pPr>
        <w:snapToGrid w:val="0"/>
        <w:spacing w:line="360" w:lineRule="auto"/>
        <w:ind w:firstLine="420" w:firstLineChars="200"/>
        <w:jc w:val="left"/>
        <w:rPr>
          <w:rFonts w:cs="宋体"/>
          <w:bCs/>
          <w:szCs w:val="21"/>
          <w:highlight w:val="none"/>
          <w:u w:val="single"/>
        </w:rPr>
      </w:pPr>
      <w:r>
        <w:rPr>
          <w:rFonts w:hint="eastAsia" w:hAnsi="宋体" w:cs="宋体"/>
          <w:szCs w:val="21"/>
          <w:highlight w:val="none"/>
        </w:rPr>
        <w:t>双方不得泄露对方申明的保密资料，亦不得泄露与其他参加方所提供的保密资料。保密事项的其他约定：</w:t>
      </w:r>
    </w:p>
    <w:p w14:paraId="7F07307B">
      <w:pPr>
        <w:snapToGrid w:val="0"/>
        <w:spacing w:line="360" w:lineRule="auto"/>
        <w:ind w:left="210" w:leftChars="100"/>
        <w:jc w:val="left"/>
        <w:rPr>
          <w:rFonts w:cs="宋体"/>
          <w:bCs/>
          <w:szCs w:val="21"/>
          <w:highlight w:val="none"/>
        </w:rPr>
      </w:pPr>
      <w:r>
        <w:rPr>
          <w:rFonts w:cs="宋体"/>
          <w:szCs w:val="21"/>
          <w:highlight w:val="none"/>
        </w:rPr>
        <w:t xml:space="preserve">9.7 </w:t>
      </w:r>
      <w:r>
        <w:rPr>
          <w:rFonts w:hint="eastAsia" w:hAnsi="宋体" w:cs="宋体"/>
          <w:bCs/>
          <w:szCs w:val="21"/>
          <w:highlight w:val="none"/>
        </w:rPr>
        <w:t>通知</w:t>
      </w:r>
    </w:p>
    <w:p w14:paraId="51DBD60B">
      <w:pPr>
        <w:snapToGrid w:val="0"/>
        <w:spacing w:line="360" w:lineRule="auto"/>
        <w:ind w:firstLine="420" w:firstLineChars="200"/>
        <w:jc w:val="left"/>
        <w:rPr>
          <w:rFonts w:cs="宋体"/>
          <w:bCs/>
          <w:szCs w:val="21"/>
          <w:highlight w:val="none"/>
        </w:rPr>
      </w:pPr>
      <w:r>
        <w:rPr>
          <w:rFonts w:hint="eastAsia" w:hAnsi="宋体" w:cs="宋体"/>
          <w:szCs w:val="21"/>
          <w:highlight w:val="none"/>
        </w:rPr>
        <w:t>本合同涉及的通知均应当采用书面形式，并在送达对方时生效，收件人应书面签收。</w:t>
      </w:r>
    </w:p>
    <w:p w14:paraId="79AF4B78">
      <w:pPr>
        <w:snapToGrid w:val="0"/>
        <w:spacing w:line="360" w:lineRule="auto"/>
        <w:ind w:left="210" w:leftChars="100"/>
        <w:jc w:val="left"/>
        <w:rPr>
          <w:rFonts w:cs="宋体"/>
          <w:bCs/>
          <w:szCs w:val="21"/>
          <w:highlight w:val="none"/>
        </w:rPr>
      </w:pPr>
      <w:r>
        <w:rPr>
          <w:rFonts w:cs="宋体"/>
          <w:bCs/>
          <w:szCs w:val="21"/>
          <w:highlight w:val="none"/>
        </w:rPr>
        <w:t xml:space="preserve">9.8 </w:t>
      </w:r>
      <w:r>
        <w:rPr>
          <w:rFonts w:hint="eastAsia" w:hAnsi="宋体" w:cs="宋体"/>
          <w:bCs/>
          <w:szCs w:val="21"/>
          <w:highlight w:val="none"/>
        </w:rPr>
        <w:t>知识产权</w:t>
      </w:r>
    </w:p>
    <w:p w14:paraId="54EF34E0">
      <w:pPr>
        <w:tabs>
          <w:tab w:val="left" w:pos="7200"/>
        </w:tabs>
        <w:snapToGrid w:val="0"/>
        <w:spacing w:line="360" w:lineRule="auto"/>
        <w:ind w:firstLine="420" w:firstLineChars="200"/>
        <w:jc w:val="left"/>
        <w:rPr>
          <w:szCs w:val="21"/>
          <w:highlight w:val="none"/>
        </w:rPr>
      </w:pPr>
      <w:r>
        <w:rPr>
          <w:szCs w:val="21"/>
          <w:highlight w:val="none"/>
        </w:rPr>
        <w:t>9.8.1</w:t>
      </w:r>
      <w:r>
        <w:rPr>
          <w:rFonts w:hint="eastAsia" w:hAnsi="宋体"/>
          <w:szCs w:val="21"/>
          <w:highlight w:val="none"/>
        </w:rPr>
        <w:t>委托人提供给受托人的图纸、委托人为实施工程自行编制或委托编制的技术规格书以及反映委托人要求的或其他类似性质的文件的著作权属于委托人，受托人可以为实现合同目的而复制、使用此类文件，但不能用于与合同无关的其他事项。未经委托人书面同意，受托人不得为了合同以外的目的而复制、使用上述文件或将之提供给任何第三方。</w:t>
      </w:r>
    </w:p>
    <w:p w14:paraId="77CC5FFF">
      <w:pPr>
        <w:tabs>
          <w:tab w:val="left" w:pos="7200"/>
        </w:tabs>
        <w:snapToGrid w:val="0"/>
        <w:spacing w:line="360" w:lineRule="auto"/>
        <w:ind w:firstLine="420" w:firstLineChars="200"/>
        <w:jc w:val="left"/>
        <w:rPr>
          <w:szCs w:val="21"/>
          <w:highlight w:val="none"/>
        </w:rPr>
      </w:pPr>
      <w:r>
        <w:rPr>
          <w:szCs w:val="21"/>
          <w:highlight w:val="none"/>
        </w:rPr>
        <w:t>9.8.2</w:t>
      </w:r>
      <w:r>
        <w:rPr>
          <w:rFonts w:hint="eastAsia" w:hAnsi="宋体"/>
          <w:szCs w:val="21"/>
          <w:highlight w:val="none"/>
        </w:rPr>
        <w:t>受托人为实施工程所编制的文件的著作权属于受托人，委托人可因实施工程的运行、调试、维修、改造等目的而复制、使用此类文件，但不能擅自修改或用于与合同无关的其他事项。未经受托人书面同意，委托人不得为了合同以外的目的而复制、使用上述文件或将之提供给任何第三方。</w:t>
      </w:r>
    </w:p>
    <w:p w14:paraId="768BA5AE">
      <w:pPr>
        <w:tabs>
          <w:tab w:val="left" w:pos="7200"/>
        </w:tabs>
        <w:snapToGrid w:val="0"/>
        <w:spacing w:line="360" w:lineRule="auto"/>
        <w:ind w:firstLine="420" w:firstLineChars="200"/>
        <w:jc w:val="left"/>
        <w:rPr>
          <w:szCs w:val="21"/>
          <w:highlight w:val="none"/>
        </w:rPr>
      </w:pPr>
      <w:r>
        <w:rPr>
          <w:szCs w:val="21"/>
          <w:highlight w:val="none"/>
        </w:rPr>
        <w:t xml:space="preserve">9.8.3 </w:t>
      </w:r>
      <w:r>
        <w:rPr>
          <w:rFonts w:hint="eastAsia" w:hAnsi="宋体"/>
          <w:szCs w:val="21"/>
          <w:highlight w:val="none"/>
        </w:rPr>
        <w:t>合同当事人保证在履行合同过程中不侵犯对方及第三方的知识产权。受托人在实施全过程工程咨询时，因侵犯他人的专利权或其他知识产权所引起的责任，由受托人承担；因委托人提供的工程资料导致侵权的，由委托人承担责任。</w:t>
      </w:r>
    </w:p>
    <w:p w14:paraId="666001B7">
      <w:pPr>
        <w:tabs>
          <w:tab w:val="left" w:pos="7200"/>
        </w:tabs>
        <w:snapToGrid w:val="0"/>
        <w:spacing w:line="360" w:lineRule="auto"/>
        <w:ind w:firstLine="420" w:firstLineChars="200"/>
        <w:jc w:val="left"/>
        <w:rPr>
          <w:szCs w:val="21"/>
          <w:highlight w:val="none"/>
        </w:rPr>
      </w:pPr>
      <w:r>
        <w:rPr>
          <w:szCs w:val="21"/>
          <w:highlight w:val="none"/>
        </w:rPr>
        <w:t xml:space="preserve">9.8.4 </w:t>
      </w:r>
      <w:r>
        <w:rPr>
          <w:rFonts w:hint="eastAsia" w:hAnsi="宋体"/>
          <w:szCs w:val="21"/>
          <w:highlight w:val="none"/>
        </w:rPr>
        <w:t>合同当事人双方均有权在不损害对方利益和保密约定的前提下，在自己宣传用的印刷品或其他出版物上，或申报奖项时等情形下公布有关项目的文字和图片材料。</w:t>
      </w:r>
    </w:p>
    <w:p w14:paraId="0C2EACEA">
      <w:pPr>
        <w:tabs>
          <w:tab w:val="left" w:pos="7200"/>
        </w:tabs>
        <w:snapToGrid w:val="0"/>
        <w:spacing w:line="360" w:lineRule="auto"/>
        <w:ind w:firstLine="420" w:firstLineChars="200"/>
        <w:jc w:val="left"/>
        <w:rPr>
          <w:szCs w:val="21"/>
          <w:highlight w:val="none"/>
        </w:rPr>
      </w:pPr>
      <w:r>
        <w:rPr>
          <w:szCs w:val="21"/>
          <w:highlight w:val="none"/>
        </w:rPr>
        <w:t>9.8.5</w:t>
      </w:r>
      <w:r>
        <w:rPr>
          <w:rFonts w:hint="eastAsia" w:hAnsi="宋体"/>
          <w:szCs w:val="21"/>
          <w:highlight w:val="none"/>
        </w:rPr>
        <w:t>受托人在合同签订前和签订时已确定采用的专利、专有技术的使用费应包含在签约酬金中。</w:t>
      </w:r>
    </w:p>
    <w:p w14:paraId="75AC41E7">
      <w:pPr>
        <w:snapToGrid w:val="0"/>
        <w:spacing w:line="360" w:lineRule="auto"/>
        <w:ind w:left="210" w:leftChars="100"/>
        <w:jc w:val="left"/>
        <w:rPr>
          <w:rFonts w:cs="宋体"/>
          <w:bCs/>
          <w:szCs w:val="21"/>
          <w:highlight w:val="none"/>
        </w:rPr>
      </w:pPr>
      <w:r>
        <w:rPr>
          <w:rFonts w:cs="宋体"/>
          <w:bCs/>
          <w:szCs w:val="21"/>
          <w:highlight w:val="none"/>
        </w:rPr>
        <w:t xml:space="preserve">9.9 </w:t>
      </w:r>
      <w:r>
        <w:rPr>
          <w:rFonts w:hint="eastAsia" w:hAnsi="宋体" w:cs="宋体"/>
          <w:bCs/>
          <w:szCs w:val="21"/>
          <w:highlight w:val="none"/>
        </w:rPr>
        <w:t>联合体</w:t>
      </w:r>
    </w:p>
    <w:p w14:paraId="6C694442">
      <w:pPr>
        <w:snapToGrid w:val="0"/>
        <w:spacing w:line="360" w:lineRule="auto"/>
        <w:ind w:firstLine="420" w:firstLineChars="200"/>
        <w:jc w:val="left"/>
        <w:rPr>
          <w:rFonts w:cs="宋体"/>
          <w:bCs/>
          <w:szCs w:val="21"/>
          <w:highlight w:val="none"/>
        </w:rPr>
      </w:pPr>
      <w:r>
        <w:rPr>
          <w:rFonts w:cs="宋体"/>
          <w:bCs/>
          <w:szCs w:val="21"/>
          <w:highlight w:val="none"/>
        </w:rPr>
        <w:t xml:space="preserve">9.9.1 </w:t>
      </w:r>
      <w:r>
        <w:rPr>
          <w:rFonts w:hint="eastAsia" w:hAnsi="宋体" w:cs="宋体"/>
          <w:bCs/>
          <w:szCs w:val="21"/>
          <w:highlight w:val="none"/>
        </w:rPr>
        <w:t>联合体各方应共同与委托人签订合同协议书。联合体各方应为履行合同向委托人承担连带责任。</w:t>
      </w:r>
    </w:p>
    <w:p w14:paraId="1D6C963C">
      <w:pPr>
        <w:snapToGrid w:val="0"/>
        <w:spacing w:line="360" w:lineRule="auto"/>
        <w:ind w:firstLine="420" w:firstLineChars="200"/>
        <w:jc w:val="left"/>
        <w:rPr>
          <w:rFonts w:cs="宋体"/>
          <w:bCs/>
          <w:szCs w:val="21"/>
          <w:highlight w:val="none"/>
        </w:rPr>
      </w:pPr>
      <w:r>
        <w:rPr>
          <w:rFonts w:cs="宋体"/>
          <w:bCs/>
          <w:szCs w:val="21"/>
          <w:highlight w:val="none"/>
        </w:rPr>
        <w:t xml:space="preserve">9.9.2 </w:t>
      </w:r>
      <w:r>
        <w:rPr>
          <w:rFonts w:hint="eastAsia" w:hAnsi="宋体" w:cs="宋体"/>
          <w:szCs w:val="21"/>
          <w:highlight w:val="none"/>
        </w:rPr>
        <w:t>联合体</w:t>
      </w:r>
      <w:r>
        <w:rPr>
          <w:rFonts w:hint="eastAsia" w:hAnsi="宋体" w:cs="宋体"/>
          <w:bCs/>
          <w:szCs w:val="21"/>
          <w:highlight w:val="none"/>
        </w:rPr>
        <w:t>协议，应当约定联合体各成员工作分工，经委托人确认后作为合同附件。在履行合同过程中，未经委托人同意，不得修改联合体协议。</w:t>
      </w:r>
    </w:p>
    <w:p w14:paraId="69CC31D1">
      <w:pPr>
        <w:snapToGrid w:val="0"/>
        <w:spacing w:line="360" w:lineRule="auto"/>
        <w:ind w:firstLine="420" w:firstLineChars="200"/>
        <w:jc w:val="left"/>
        <w:rPr>
          <w:rFonts w:cs="宋体"/>
          <w:szCs w:val="21"/>
          <w:highlight w:val="none"/>
        </w:rPr>
      </w:pPr>
      <w:r>
        <w:rPr>
          <w:rFonts w:cs="宋体"/>
          <w:bCs/>
          <w:szCs w:val="21"/>
          <w:highlight w:val="none"/>
        </w:rPr>
        <w:t xml:space="preserve">9.9.3 </w:t>
      </w:r>
      <w:r>
        <w:rPr>
          <w:rFonts w:hint="eastAsia" w:hAnsi="宋体" w:cs="宋体"/>
          <w:szCs w:val="21"/>
          <w:highlight w:val="none"/>
        </w:rPr>
        <w:t>联合体</w:t>
      </w:r>
      <w:r>
        <w:rPr>
          <w:rFonts w:hint="eastAsia" w:hAnsi="宋体" w:cs="宋体"/>
          <w:bCs/>
          <w:szCs w:val="21"/>
          <w:highlight w:val="none"/>
        </w:rPr>
        <w:t>牵头方负责与委托人联系，并接受指示，负责组织联合体各成员全面履行合同。</w:t>
      </w:r>
    </w:p>
    <w:p w14:paraId="59A01DB4">
      <w:pPr>
        <w:snapToGrid w:val="0"/>
        <w:spacing w:line="360" w:lineRule="auto"/>
        <w:ind w:left="210" w:leftChars="100"/>
        <w:jc w:val="left"/>
        <w:rPr>
          <w:rFonts w:cs="宋体"/>
          <w:szCs w:val="21"/>
          <w:highlight w:val="none"/>
        </w:rPr>
      </w:pPr>
      <w:r>
        <w:rPr>
          <w:rFonts w:cs="宋体"/>
          <w:szCs w:val="21"/>
          <w:highlight w:val="none"/>
        </w:rPr>
        <w:t xml:space="preserve">9.10 </w:t>
      </w:r>
      <w:r>
        <w:rPr>
          <w:rFonts w:hint="eastAsia" w:hAnsi="宋体" w:cs="宋体"/>
          <w:szCs w:val="21"/>
          <w:highlight w:val="none"/>
        </w:rPr>
        <w:t>分包</w:t>
      </w:r>
    </w:p>
    <w:p w14:paraId="6EA0691D">
      <w:pPr>
        <w:snapToGrid w:val="0"/>
        <w:spacing w:line="360" w:lineRule="auto"/>
        <w:ind w:firstLine="420" w:firstLineChars="200"/>
        <w:jc w:val="left"/>
        <w:rPr>
          <w:rFonts w:cs="宋体"/>
          <w:bCs/>
          <w:szCs w:val="21"/>
          <w:highlight w:val="none"/>
        </w:rPr>
      </w:pPr>
      <w:r>
        <w:rPr>
          <w:rFonts w:cs="宋体"/>
          <w:bCs/>
          <w:szCs w:val="21"/>
          <w:highlight w:val="none"/>
        </w:rPr>
        <w:t xml:space="preserve">9.10.1 </w:t>
      </w:r>
      <w:r>
        <w:rPr>
          <w:rFonts w:hint="eastAsia" w:cs="宋体"/>
          <w:bCs/>
          <w:szCs w:val="21"/>
          <w:highlight w:val="none"/>
        </w:rPr>
        <w:t>受托人应当将资质范围外的服务内容分包给具备相应资质条件的服务机构，但是分包单位的确认必须经委托人的认可。受托人作为总包单位，就分包服务内容承担连带责任。</w:t>
      </w:r>
    </w:p>
    <w:p w14:paraId="1AED7EDD">
      <w:pPr>
        <w:snapToGrid w:val="0"/>
        <w:spacing w:line="360" w:lineRule="auto"/>
        <w:ind w:firstLine="420" w:firstLineChars="200"/>
        <w:jc w:val="left"/>
        <w:rPr>
          <w:rFonts w:ascii="宋体" w:cs="宋体"/>
          <w:szCs w:val="21"/>
          <w:highlight w:val="none"/>
        </w:rPr>
      </w:pPr>
      <w:r>
        <w:rPr>
          <w:rFonts w:cs="宋体"/>
          <w:bCs/>
          <w:szCs w:val="21"/>
          <w:highlight w:val="none"/>
        </w:rPr>
        <w:t>9.10.2</w:t>
      </w:r>
      <w:r>
        <w:rPr>
          <w:rFonts w:hint="eastAsia" w:cs="宋体"/>
          <w:bCs/>
          <w:szCs w:val="21"/>
          <w:highlight w:val="none"/>
        </w:rPr>
        <w:t>受托人不得将自身资质条件内的服务内容转包给第三人，或将其承包的全部服务内容肢解后以分包的名义转包给第三人。</w:t>
      </w:r>
    </w:p>
    <w:p w14:paraId="62B68332">
      <w:pPr>
        <w:snapToGrid w:val="0"/>
        <w:spacing w:line="360" w:lineRule="auto"/>
        <w:jc w:val="left"/>
        <w:rPr>
          <w:rFonts w:ascii="宋体"/>
          <w:szCs w:val="21"/>
          <w:highlight w:val="none"/>
        </w:rPr>
        <w:sectPr>
          <w:footerReference r:id="rId11" w:type="default"/>
          <w:type w:val="continuous"/>
          <w:pgSz w:w="11906" w:h="16838"/>
          <w:pgMar w:top="1418" w:right="1418" w:bottom="1418" w:left="1474" w:header="851" w:footer="992" w:gutter="0"/>
          <w:pgNumType w:fmt="numberInDash" w:start="43"/>
          <w:cols w:space="720" w:num="1"/>
          <w:docGrid w:type="lines" w:linePitch="286" w:charSpace="0"/>
        </w:sectPr>
      </w:pPr>
    </w:p>
    <w:p w14:paraId="4749C35F">
      <w:pPr>
        <w:pStyle w:val="4"/>
        <w:spacing w:line="360" w:lineRule="auto"/>
        <w:jc w:val="center"/>
        <w:rPr>
          <w:highlight w:val="none"/>
        </w:rPr>
      </w:pPr>
      <w:bookmarkStart w:id="294" w:name="_Toc3519"/>
      <w:bookmarkStart w:id="295" w:name="_Toc387244126"/>
      <w:r>
        <w:rPr>
          <w:rFonts w:hint="eastAsia"/>
          <w:highlight w:val="none"/>
        </w:rPr>
        <w:t>第三部分  专用条件</w:t>
      </w:r>
      <w:bookmarkEnd w:id="294"/>
    </w:p>
    <w:bookmarkEnd w:id="295"/>
    <w:p w14:paraId="73D8DF1D">
      <w:pPr>
        <w:spacing w:line="360" w:lineRule="auto"/>
        <w:jc w:val="left"/>
        <w:outlineLvl w:val="2"/>
        <w:rPr>
          <w:rFonts w:ascii="宋体" w:cs="宋体"/>
          <w:b/>
          <w:szCs w:val="21"/>
          <w:highlight w:val="none"/>
        </w:rPr>
      </w:pPr>
      <w:bookmarkStart w:id="296" w:name="_Toc478373432"/>
      <w:bookmarkStart w:id="297" w:name="_Toc478380036"/>
      <w:bookmarkStart w:id="298" w:name="_Toc527955014"/>
      <w:bookmarkStart w:id="299" w:name="_Toc509302666"/>
      <w:r>
        <w:rPr>
          <w:rFonts w:ascii="宋体" w:hAnsi="宋体" w:cs="宋体"/>
          <w:b/>
          <w:szCs w:val="21"/>
          <w:highlight w:val="none"/>
        </w:rPr>
        <w:t xml:space="preserve">1. </w:t>
      </w:r>
      <w:r>
        <w:rPr>
          <w:rFonts w:hint="eastAsia" w:ascii="宋体" w:hAnsi="宋体" w:cs="宋体"/>
          <w:b/>
          <w:szCs w:val="21"/>
          <w:highlight w:val="none"/>
        </w:rPr>
        <w:t>定义与解释</w:t>
      </w:r>
      <w:bookmarkEnd w:id="296"/>
      <w:bookmarkEnd w:id="297"/>
      <w:bookmarkEnd w:id="298"/>
      <w:bookmarkEnd w:id="299"/>
    </w:p>
    <w:p w14:paraId="61F43FF0">
      <w:pPr>
        <w:adjustRightInd w:val="0"/>
        <w:snapToGrid w:val="0"/>
        <w:spacing w:line="360" w:lineRule="auto"/>
        <w:jc w:val="left"/>
        <w:rPr>
          <w:rFonts w:ascii="宋体" w:cs="宋体"/>
          <w:szCs w:val="21"/>
          <w:highlight w:val="none"/>
        </w:rPr>
      </w:pPr>
      <w:r>
        <w:rPr>
          <w:rFonts w:ascii="宋体" w:hAnsi="宋体" w:cs="宋体"/>
          <w:szCs w:val="21"/>
          <w:highlight w:val="none"/>
        </w:rPr>
        <w:t xml:space="preserve">1.1  </w:t>
      </w:r>
      <w:r>
        <w:rPr>
          <w:rFonts w:hint="eastAsia" w:ascii="宋体" w:hAnsi="宋体" w:cs="宋体"/>
          <w:szCs w:val="21"/>
          <w:highlight w:val="none"/>
        </w:rPr>
        <w:t>解释</w:t>
      </w:r>
    </w:p>
    <w:p w14:paraId="7245C34F">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1.1.1 </w:t>
      </w:r>
      <w:r>
        <w:rPr>
          <w:rFonts w:hint="eastAsia" w:ascii="宋体" w:hAnsi="宋体" w:cs="宋体"/>
          <w:szCs w:val="21"/>
          <w:highlight w:val="none"/>
        </w:rPr>
        <w:t>本合同文件除使用中文外，还可用</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7962A7D4">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1.1.2 </w:t>
      </w:r>
      <w:r>
        <w:rPr>
          <w:rFonts w:hint="eastAsia" w:ascii="宋体" w:hAnsi="宋体" w:cs="宋体"/>
          <w:szCs w:val="21"/>
          <w:highlight w:val="none"/>
        </w:rPr>
        <w:t>约定本合同文件的解释顺序为：</w:t>
      </w:r>
      <w:r>
        <w:rPr>
          <w:rFonts w:hint="eastAsia" w:ascii="宋体" w:hAnsi="宋体"/>
          <w:highlight w:val="none"/>
          <w:u w:val="single"/>
        </w:rPr>
        <w:t>协议书、中标通知书（成交通知书）、专用条件、通用条件、投标文件</w:t>
      </w:r>
      <w:r>
        <w:rPr>
          <w:rFonts w:hint="eastAsia" w:ascii="宋体" w:hAnsi="宋体" w:cs="宋体"/>
          <w:szCs w:val="21"/>
          <w:highlight w:val="none"/>
        </w:rPr>
        <w:t>。</w:t>
      </w:r>
    </w:p>
    <w:p w14:paraId="58CD7337">
      <w:pPr>
        <w:spacing w:line="360" w:lineRule="auto"/>
        <w:jc w:val="left"/>
        <w:outlineLvl w:val="2"/>
        <w:rPr>
          <w:rFonts w:ascii="宋体" w:cs="宋体"/>
          <w:b/>
          <w:szCs w:val="21"/>
          <w:highlight w:val="none"/>
        </w:rPr>
      </w:pPr>
      <w:bookmarkStart w:id="300" w:name="_Toc478380037"/>
      <w:bookmarkStart w:id="301" w:name="_Toc527955015"/>
      <w:bookmarkStart w:id="302" w:name="_Toc478373433"/>
      <w:bookmarkStart w:id="303" w:name="_Toc509302667"/>
      <w:r>
        <w:rPr>
          <w:rFonts w:ascii="宋体" w:hAnsi="宋体" w:cs="宋体"/>
          <w:b/>
          <w:szCs w:val="21"/>
          <w:highlight w:val="none"/>
        </w:rPr>
        <w:t xml:space="preserve">2. </w:t>
      </w:r>
      <w:r>
        <w:rPr>
          <w:rFonts w:hint="eastAsia" w:ascii="宋体" w:hAnsi="宋体" w:cs="宋体"/>
          <w:b/>
          <w:szCs w:val="21"/>
          <w:highlight w:val="none"/>
        </w:rPr>
        <w:t>受托人义务</w:t>
      </w:r>
      <w:bookmarkEnd w:id="300"/>
      <w:bookmarkEnd w:id="301"/>
      <w:bookmarkEnd w:id="302"/>
      <w:bookmarkEnd w:id="303"/>
    </w:p>
    <w:p w14:paraId="5CC9E0EB">
      <w:pPr>
        <w:spacing w:line="360" w:lineRule="auto"/>
        <w:ind w:firstLine="210" w:firstLineChars="100"/>
        <w:jc w:val="left"/>
        <w:rPr>
          <w:rFonts w:ascii="宋体" w:cs="宋体"/>
          <w:bCs/>
          <w:szCs w:val="21"/>
          <w:highlight w:val="none"/>
        </w:rPr>
      </w:pPr>
      <w:r>
        <w:rPr>
          <w:rFonts w:ascii="宋体" w:hAnsi="宋体" w:cs="宋体"/>
          <w:szCs w:val="21"/>
          <w:highlight w:val="none"/>
        </w:rPr>
        <w:t xml:space="preserve">2.1 </w:t>
      </w:r>
      <w:r>
        <w:rPr>
          <w:rFonts w:hint="eastAsia" w:ascii="宋体" w:hAnsi="宋体" w:cs="宋体"/>
          <w:bCs/>
          <w:szCs w:val="21"/>
          <w:highlight w:val="none"/>
        </w:rPr>
        <w:t>全过程工程咨询服务依据</w:t>
      </w:r>
    </w:p>
    <w:p w14:paraId="47C66C57">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2.1.1 </w:t>
      </w:r>
      <w:r>
        <w:rPr>
          <w:rFonts w:hint="eastAsia" w:ascii="宋体" w:hAnsi="宋体" w:cs="宋体"/>
          <w:szCs w:val="21"/>
          <w:highlight w:val="none"/>
        </w:rPr>
        <w:t>依据包括：</w:t>
      </w:r>
    </w:p>
    <w:p w14:paraId="22371EB3">
      <w:pPr>
        <w:adjustRightInd w:val="0"/>
        <w:snapToGrid w:val="0"/>
        <w:spacing w:line="360" w:lineRule="auto"/>
        <w:ind w:firstLine="525" w:firstLineChars="250"/>
        <w:jc w:val="left"/>
        <w:rPr>
          <w:rFonts w:ascii="宋体" w:cs="宋体"/>
          <w:szCs w:val="21"/>
          <w:highlight w:val="none"/>
          <w:u w:val="singl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）全过程工程咨询服务依据包括：</w:t>
      </w:r>
      <w:r>
        <w:rPr>
          <w:rFonts w:hint="eastAsia" w:ascii="宋体" w:hAnsi="宋体"/>
          <w:szCs w:val="21"/>
          <w:highlight w:val="none"/>
          <w:u w:val="single"/>
        </w:rPr>
        <w:t>国家发展改革委、住房和城乡建设部联合发布的《关于推进全过程工程咨询服务发展的指导意见》、《</w:t>
      </w:r>
      <w:r>
        <w:rPr>
          <w:rFonts w:ascii="宋体" w:hAnsi="宋体"/>
          <w:szCs w:val="21"/>
          <w:highlight w:val="none"/>
          <w:u w:val="single"/>
        </w:rPr>
        <w:t xml:space="preserve"> </w:t>
      </w:r>
      <w:r>
        <w:rPr>
          <w:rFonts w:hint="eastAsia" w:ascii="宋体" w:hAnsi="宋体"/>
          <w:szCs w:val="21"/>
          <w:highlight w:val="none"/>
          <w:u w:val="single"/>
        </w:rPr>
        <w:t>江苏省全过程工程咨询服务导则》等</w:t>
      </w:r>
    </w:p>
    <w:p w14:paraId="37A16B61">
      <w:pPr>
        <w:adjustRightInd w:val="0"/>
        <w:snapToGrid w:val="0"/>
        <w:spacing w:line="360" w:lineRule="auto"/>
        <w:ind w:firstLine="525" w:firstLineChars="25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）使用其他国家和地区技术标准的名称、提供方、原文版、中译本的份数、时间及费用承担：</w:t>
      </w:r>
      <w:r>
        <w:rPr>
          <w:rFonts w:hint="eastAsia" w:ascii="宋体" w:hAnsi="宋体"/>
          <w:highlight w:val="none"/>
          <w:u w:val="single"/>
        </w:rPr>
        <w:t>按通用条款</w:t>
      </w:r>
    </w:p>
    <w:p w14:paraId="46A1447A">
      <w:pPr>
        <w:snapToGrid w:val="0"/>
        <w:spacing w:line="360" w:lineRule="auto"/>
        <w:ind w:firstLine="105" w:firstLineChars="50"/>
        <w:jc w:val="left"/>
        <w:rPr>
          <w:rFonts w:ascii="宋体" w:cs="宋体"/>
          <w:szCs w:val="21"/>
          <w:highlight w:val="none"/>
        </w:rPr>
      </w:pPr>
      <w:r>
        <w:rPr>
          <w:rFonts w:ascii="宋体" w:hAnsi="宋体" w:cs="宋体"/>
          <w:szCs w:val="21"/>
          <w:highlight w:val="none"/>
        </w:rPr>
        <w:t xml:space="preserve">2.2 </w:t>
      </w:r>
      <w:r>
        <w:rPr>
          <w:rFonts w:hint="eastAsia" w:ascii="宋体" w:hAnsi="宋体" w:cs="宋体"/>
          <w:szCs w:val="21"/>
          <w:highlight w:val="none"/>
        </w:rPr>
        <w:t>全过程工程咨询服务</w:t>
      </w:r>
      <w:r>
        <w:rPr>
          <w:rFonts w:hint="eastAsia" w:ascii="宋体" w:hAnsi="宋体" w:cs="宋体"/>
          <w:kern w:val="0"/>
          <w:szCs w:val="21"/>
          <w:highlight w:val="none"/>
        </w:rPr>
        <w:t>机构和人员</w:t>
      </w:r>
    </w:p>
    <w:p w14:paraId="33CCC6CD">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2.2.1 </w:t>
      </w:r>
      <w:r>
        <w:rPr>
          <w:rFonts w:hint="eastAsia" w:ascii="宋体" w:hAnsi="宋体" w:cs="宋体"/>
          <w:kern w:val="0"/>
          <w:szCs w:val="21"/>
          <w:highlight w:val="none"/>
        </w:rPr>
        <w:t>全过程工程咨询服务机构人员配备见附录</w:t>
      </w:r>
      <w:r>
        <w:rPr>
          <w:rFonts w:ascii="宋体" w:hAnsi="宋体" w:cs="宋体"/>
          <w:kern w:val="0"/>
          <w:szCs w:val="21"/>
          <w:highlight w:val="none"/>
        </w:rPr>
        <w:t>1</w:t>
      </w:r>
      <w:r>
        <w:rPr>
          <w:rFonts w:hint="eastAsia" w:ascii="宋体" w:hAnsi="宋体" w:cs="宋体"/>
          <w:kern w:val="0"/>
          <w:szCs w:val="21"/>
          <w:highlight w:val="none"/>
        </w:rPr>
        <w:t>。</w:t>
      </w:r>
    </w:p>
    <w:p w14:paraId="51F36F14">
      <w:pPr>
        <w:adjustRightInd w:val="0"/>
        <w:snapToGrid w:val="0"/>
        <w:spacing w:line="360" w:lineRule="auto"/>
        <w:ind w:firstLine="420" w:firstLineChars="200"/>
        <w:jc w:val="left"/>
        <w:rPr>
          <w:rFonts w:ascii="宋体" w:cs="宋体"/>
          <w:kern w:val="0"/>
          <w:szCs w:val="21"/>
          <w:highlight w:val="none"/>
        </w:rPr>
      </w:pPr>
      <w:r>
        <w:rPr>
          <w:rFonts w:ascii="宋体" w:hAnsi="宋体" w:cs="宋体"/>
          <w:szCs w:val="21"/>
          <w:highlight w:val="none"/>
        </w:rPr>
        <w:t xml:space="preserve">2.2.2 </w:t>
      </w:r>
      <w:r>
        <w:rPr>
          <w:rFonts w:hint="eastAsia" w:ascii="宋体" w:hAnsi="宋体" w:cs="宋体"/>
          <w:kern w:val="0"/>
          <w:szCs w:val="21"/>
          <w:highlight w:val="none"/>
        </w:rPr>
        <w:t>更换受托人员的其他情形：</w:t>
      </w:r>
      <w:r>
        <w:rPr>
          <w:rFonts w:hint="eastAsia" w:ascii="宋体" w:hAnsi="宋体"/>
          <w:highlight w:val="none"/>
          <w:u w:val="single"/>
        </w:rPr>
        <w:t>按通用条款</w:t>
      </w:r>
      <w:r>
        <w:rPr>
          <w:rFonts w:hint="eastAsia" w:ascii="宋体" w:hAnsi="宋体" w:cs="宋体"/>
          <w:kern w:val="0"/>
          <w:szCs w:val="21"/>
          <w:highlight w:val="none"/>
        </w:rPr>
        <w:t>。</w:t>
      </w:r>
    </w:p>
    <w:p w14:paraId="02F92C7C">
      <w:pPr>
        <w:adjustRightInd w:val="0"/>
        <w:snapToGrid w:val="0"/>
        <w:spacing w:line="360" w:lineRule="auto"/>
        <w:ind w:firstLine="105" w:firstLineChars="50"/>
        <w:jc w:val="left"/>
        <w:rPr>
          <w:rFonts w:ascii="宋体" w:cs="宋体"/>
          <w:szCs w:val="21"/>
          <w:highlight w:val="none"/>
        </w:rPr>
      </w:pPr>
      <w:r>
        <w:rPr>
          <w:rFonts w:ascii="宋体" w:hAnsi="宋体" w:cs="宋体"/>
          <w:kern w:val="0"/>
          <w:szCs w:val="21"/>
          <w:highlight w:val="none"/>
        </w:rPr>
        <w:t xml:space="preserve">2.3 </w:t>
      </w:r>
      <w:r>
        <w:rPr>
          <w:rFonts w:hint="eastAsia" w:ascii="宋体" w:hAnsi="宋体" w:cs="宋体"/>
          <w:szCs w:val="21"/>
          <w:highlight w:val="none"/>
        </w:rPr>
        <w:t>提交</w:t>
      </w:r>
      <w:r>
        <w:rPr>
          <w:rFonts w:hint="eastAsia" w:ascii="宋体" w:hAnsi="宋体" w:cs="宋体"/>
          <w:kern w:val="0"/>
          <w:szCs w:val="21"/>
          <w:highlight w:val="none"/>
        </w:rPr>
        <w:t>报告</w:t>
      </w:r>
    </w:p>
    <w:p w14:paraId="2C2C38D6">
      <w:pPr>
        <w:adjustRightInd w:val="0"/>
        <w:snapToGrid w:val="0"/>
        <w:spacing w:line="360" w:lineRule="auto"/>
        <w:jc w:val="left"/>
        <w:rPr>
          <w:rFonts w:ascii="宋体" w:cs="宋体"/>
          <w:kern w:val="0"/>
          <w:szCs w:val="21"/>
          <w:highlight w:val="none"/>
        </w:rPr>
      </w:pPr>
      <w:r>
        <w:rPr>
          <w:rFonts w:hint="eastAsia" w:ascii="宋体" w:hAnsi="宋体" w:cs="宋体"/>
          <w:szCs w:val="21"/>
          <w:highlight w:val="none"/>
        </w:rPr>
        <w:t>受托人应提交报告的种类、时间和份数</w:t>
      </w:r>
      <w:r>
        <w:rPr>
          <w:rFonts w:hint="eastAsia" w:ascii="宋体" w:hAnsi="宋体" w:cs="宋体"/>
          <w:kern w:val="0"/>
          <w:szCs w:val="21"/>
          <w:highlight w:val="none"/>
        </w:rPr>
        <w:t>：</w:t>
      </w:r>
      <w:r>
        <w:rPr>
          <w:rFonts w:hint="eastAsia" w:ascii="宋体" w:hAnsi="宋体"/>
          <w:highlight w:val="none"/>
          <w:u w:val="single"/>
        </w:rPr>
        <w:t>按国家相关规定提交报告种类。时间根根据项目进展情况及时提交</w:t>
      </w:r>
      <w:r>
        <w:rPr>
          <w:rFonts w:hint="eastAsia" w:ascii="宋体" w:hAnsi="宋体" w:cs="宋体"/>
          <w:szCs w:val="21"/>
          <w:highlight w:val="none"/>
        </w:rPr>
        <w:t>。</w:t>
      </w:r>
    </w:p>
    <w:p w14:paraId="378D2E88">
      <w:pPr>
        <w:snapToGrid w:val="0"/>
        <w:spacing w:line="360" w:lineRule="auto"/>
        <w:jc w:val="left"/>
        <w:rPr>
          <w:rFonts w:ascii="宋体" w:cs="宋体"/>
          <w:kern w:val="0"/>
          <w:szCs w:val="21"/>
          <w:highlight w:val="none"/>
        </w:rPr>
      </w:pPr>
      <w:r>
        <w:rPr>
          <w:rFonts w:ascii="宋体" w:hAnsi="宋体" w:cs="宋体"/>
          <w:kern w:val="0"/>
          <w:szCs w:val="21"/>
          <w:highlight w:val="none"/>
        </w:rPr>
        <w:t xml:space="preserve">2.4 </w:t>
      </w:r>
      <w:r>
        <w:rPr>
          <w:rFonts w:hint="eastAsia" w:ascii="宋体" w:hAnsi="宋体" w:cs="宋体"/>
          <w:kern w:val="0"/>
          <w:szCs w:val="21"/>
          <w:highlight w:val="none"/>
        </w:rPr>
        <w:t>使用委托人的财产</w:t>
      </w:r>
    </w:p>
    <w:p w14:paraId="3E3ED825">
      <w:pPr>
        <w:snapToGrid w:val="0"/>
        <w:spacing w:line="360" w:lineRule="auto"/>
        <w:jc w:val="left"/>
        <w:rPr>
          <w:rFonts w:ascii="宋体" w:cs="宋体"/>
          <w:kern w:val="0"/>
          <w:szCs w:val="21"/>
          <w:highlight w:val="none"/>
        </w:rPr>
      </w:pPr>
      <w:r>
        <w:rPr>
          <w:rFonts w:hint="eastAsia" w:ascii="宋体" w:hAnsi="宋体" w:cs="宋体"/>
          <w:szCs w:val="21"/>
          <w:highlight w:val="none"/>
        </w:rPr>
        <w:t>由委托人无偿提供的房屋、设备的所有权属于：</w:t>
      </w:r>
      <w:r>
        <w:rPr>
          <w:rFonts w:hint="eastAsia" w:ascii="宋体" w:hAnsi="宋体" w:cs="宋体"/>
          <w:kern w:val="0"/>
          <w:szCs w:val="21"/>
          <w:highlight w:val="none"/>
          <w:u w:val="single"/>
        </w:rPr>
        <w:t>委托人</w:t>
      </w:r>
      <w:r>
        <w:rPr>
          <w:rFonts w:ascii="宋体" w:hAnsi="宋体" w:cs="宋体"/>
          <w:kern w:val="0"/>
          <w:szCs w:val="21"/>
          <w:highlight w:val="none"/>
          <w:u w:val="single"/>
        </w:rPr>
        <w:t xml:space="preserve"> </w:t>
      </w:r>
      <w:r>
        <w:rPr>
          <w:rFonts w:ascii="宋体" w:hAnsi="宋体" w:cs="宋体"/>
          <w:szCs w:val="21"/>
          <w:highlight w:val="none"/>
          <w:u w:val="single"/>
        </w:rPr>
        <w:t xml:space="preserve"> </w:t>
      </w:r>
      <w:r>
        <w:rPr>
          <w:rFonts w:hint="eastAsia" w:ascii="宋体" w:hAnsi="宋体" w:cs="宋体"/>
          <w:szCs w:val="21"/>
          <w:highlight w:val="none"/>
        </w:rPr>
        <w:t>。</w:t>
      </w:r>
    </w:p>
    <w:p w14:paraId="0BF6DAE3">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受托人应在本合同终止后</w:t>
      </w:r>
      <w:r>
        <w:rPr>
          <w:rFonts w:ascii="宋体" w:hAnsi="宋体"/>
          <w:highlight w:val="none"/>
          <w:u w:val="single"/>
        </w:rPr>
        <w:t xml:space="preserve">  </w:t>
      </w:r>
      <w:r>
        <w:rPr>
          <w:rFonts w:hint="eastAsia" w:ascii="宋体" w:hAnsi="宋体"/>
          <w:highlight w:val="none"/>
          <w:u w:val="single"/>
        </w:rPr>
        <w:t>5</w:t>
      </w:r>
      <w:r>
        <w:rPr>
          <w:rFonts w:ascii="宋体" w:hAnsi="宋体"/>
          <w:highlight w:val="none"/>
          <w:u w:val="single"/>
        </w:rPr>
        <w:t xml:space="preserve"> </w:t>
      </w:r>
      <w:r>
        <w:rPr>
          <w:rFonts w:hint="eastAsia" w:ascii="宋体" w:hAnsi="宋体"/>
          <w:highlight w:val="none"/>
        </w:rPr>
        <w:t>天</w:t>
      </w:r>
      <w:r>
        <w:rPr>
          <w:rFonts w:hint="eastAsia" w:ascii="宋体" w:hAnsi="宋体" w:cs="宋体"/>
          <w:szCs w:val="21"/>
          <w:highlight w:val="none"/>
        </w:rPr>
        <w:t>内移交委托人无偿提供的房屋、设备，移交的时间和方式为：</w:t>
      </w:r>
      <w:r>
        <w:rPr>
          <w:rFonts w:ascii="宋体" w:hAnsi="宋体" w:cs="宋体"/>
          <w:szCs w:val="21"/>
          <w:highlight w:val="none"/>
          <w:u w:val="single"/>
        </w:rPr>
        <w:t xml:space="preserve">  </w:t>
      </w:r>
      <w:r>
        <w:rPr>
          <w:rFonts w:hint="eastAsia" w:ascii="宋体" w:hAnsi="宋体"/>
          <w:highlight w:val="none"/>
          <w:u w:val="single"/>
        </w:rPr>
        <w:t>双方另行协商</w:t>
      </w:r>
      <w:r>
        <w:rPr>
          <w:rFonts w:ascii="宋体" w:hAnsi="宋体" w:cs="宋体"/>
          <w:szCs w:val="21"/>
          <w:highlight w:val="none"/>
          <w:u w:val="single"/>
        </w:rPr>
        <w:t xml:space="preserve">  </w:t>
      </w:r>
      <w:r>
        <w:rPr>
          <w:rFonts w:hint="eastAsia" w:ascii="宋体" w:hAnsi="宋体" w:cs="宋体"/>
          <w:szCs w:val="21"/>
          <w:highlight w:val="none"/>
        </w:rPr>
        <w:t>。</w:t>
      </w:r>
    </w:p>
    <w:p w14:paraId="1837E8F8">
      <w:pPr>
        <w:spacing w:line="360" w:lineRule="auto"/>
        <w:jc w:val="left"/>
        <w:outlineLvl w:val="2"/>
        <w:rPr>
          <w:rFonts w:hint="eastAsia" w:ascii="宋体" w:hAnsi="宋体" w:cs="宋体"/>
          <w:b/>
          <w:szCs w:val="21"/>
          <w:highlight w:val="none"/>
        </w:rPr>
      </w:pPr>
      <w:bookmarkStart w:id="304" w:name="_Toc532553133"/>
      <w:bookmarkStart w:id="305" w:name="_Toc532553059"/>
      <w:bookmarkStart w:id="306" w:name="_Toc531850353"/>
      <w:r>
        <w:rPr>
          <w:rFonts w:ascii="宋体" w:hAnsi="宋体" w:cs="宋体"/>
          <w:b/>
          <w:szCs w:val="21"/>
          <w:highlight w:val="none"/>
        </w:rPr>
        <w:t xml:space="preserve">3. </w:t>
      </w:r>
      <w:r>
        <w:rPr>
          <w:rFonts w:hint="eastAsia" w:ascii="宋体" w:hAnsi="宋体" w:cs="宋体"/>
          <w:b/>
          <w:szCs w:val="21"/>
          <w:highlight w:val="none"/>
        </w:rPr>
        <w:t>委托人的义务</w:t>
      </w:r>
      <w:bookmarkEnd w:id="304"/>
      <w:bookmarkEnd w:id="305"/>
      <w:bookmarkEnd w:id="306"/>
    </w:p>
    <w:p w14:paraId="33F135E8">
      <w:pPr>
        <w:adjustRightInd w:val="0"/>
        <w:snapToGrid w:val="0"/>
        <w:spacing w:line="360" w:lineRule="auto"/>
        <w:ind w:firstLine="420" w:firstLineChars="200"/>
        <w:jc w:val="left"/>
        <w:rPr>
          <w:szCs w:val="21"/>
          <w:highlight w:val="none"/>
        </w:rPr>
      </w:pPr>
      <w:r>
        <w:rPr>
          <w:szCs w:val="21"/>
          <w:highlight w:val="none"/>
        </w:rPr>
        <w:t xml:space="preserve">3.1 </w:t>
      </w:r>
      <w:r>
        <w:rPr>
          <w:rFonts w:hint="eastAsia"/>
          <w:szCs w:val="21"/>
          <w:highlight w:val="none"/>
        </w:rPr>
        <w:t>提供资料</w:t>
      </w:r>
    </w:p>
    <w:p w14:paraId="47ADC785">
      <w:pPr>
        <w:spacing w:line="360" w:lineRule="auto"/>
        <w:ind w:firstLine="420" w:firstLineChars="200"/>
        <w:jc w:val="left"/>
        <w:rPr>
          <w:szCs w:val="21"/>
          <w:highlight w:val="none"/>
        </w:rPr>
      </w:pPr>
      <w:r>
        <w:rPr>
          <w:rFonts w:hint="eastAsia"/>
          <w:szCs w:val="21"/>
          <w:highlight w:val="none"/>
        </w:rPr>
        <w:t>签订合同生效时，委托人应按照下表无偿向受托人提供工程有关的资料：</w:t>
      </w:r>
    </w:p>
    <w:p w14:paraId="70CC02AB">
      <w:pPr>
        <w:snapToGrid w:val="0"/>
        <w:spacing w:line="360" w:lineRule="auto"/>
        <w:ind w:firstLine="420" w:firstLineChars="200"/>
        <w:jc w:val="left"/>
        <w:rPr>
          <w:b/>
          <w:szCs w:val="21"/>
          <w:highlight w:val="none"/>
        </w:rPr>
      </w:pPr>
      <w:r>
        <w:rPr>
          <w:rFonts w:hint="eastAsia"/>
          <w:b/>
          <w:szCs w:val="21"/>
          <w:highlight w:val="none"/>
        </w:rPr>
        <w:t>委托人提供的资料</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2442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tcPr>
          <w:p w14:paraId="5D8F53A7">
            <w:pPr>
              <w:adjustRightInd w:val="0"/>
              <w:snapToGrid w:val="0"/>
              <w:spacing w:line="360" w:lineRule="auto"/>
              <w:jc w:val="left"/>
              <w:rPr>
                <w:szCs w:val="21"/>
                <w:highlight w:val="none"/>
              </w:rPr>
            </w:pPr>
            <w:r>
              <w:rPr>
                <w:rFonts w:hint="eastAsia"/>
                <w:szCs w:val="21"/>
                <w:highlight w:val="none"/>
              </w:rPr>
              <w:t>名称</w:t>
            </w:r>
          </w:p>
        </w:tc>
        <w:tc>
          <w:tcPr>
            <w:tcW w:w="1491" w:type="dxa"/>
            <w:noWrap/>
          </w:tcPr>
          <w:p w14:paraId="5E891F7C">
            <w:pPr>
              <w:adjustRightInd w:val="0"/>
              <w:snapToGrid w:val="0"/>
              <w:spacing w:line="360" w:lineRule="auto"/>
              <w:jc w:val="left"/>
              <w:rPr>
                <w:szCs w:val="21"/>
                <w:highlight w:val="none"/>
              </w:rPr>
            </w:pPr>
            <w:r>
              <w:rPr>
                <w:rFonts w:hint="eastAsia"/>
                <w:szCs w:val="21"/>
                <w:highlight w:val="none"/>
              </w:rPr>
              <w:t>份数</w:t>
            </w:r>
          </w:p>
        </w:tc>
        <w:tc>
          <w:tcPr>
            <w:tcW w:w="2147" w:type="dxa"/>
            <w:noWrap/>
          </w:tcPr>
          <w:p w14:paraId="4D89AE83">
            <w:pPr>
              <w:adjustRightInd w:val="0"/>
              <w:snapToGrid w:val="0"/>
              <w:spacing w:line="360" w:lineRule="auto"/>
              <w:jc w:val="left"/>
              <w:rPr>
                <w:szCs w:val="21"/>
                <w:highlight w:val="none"/>
              </w:rPr>
            </w:pPr>
            <w:r>
              <w:rPr>
                <w:rFonts w:hint="eastAsia"/>
                <w:szCs w:val="21"/>
                <w:highlight w:val="none"/>
              </w:rPr>
              <w:t>提供时间</w:t>
            </w:r>
          </w:p>
        </w:tc>
        <w:tc>
          <w:tcPr>
            <w:tcW w:w="2082" w:type="dxa"/>
            <w:noWrap/>
          </w:tcPr>
          <w:p w14:paraId="35F8C8F5">
            <w:pPr>
              <w:adjustRightInd w:val="0"/>
              <w:snapToGrid w:val="0"/>
              <w:spacing w:line="360" w:lineRule="auto"/>
              <w:jc w:val="left"/>
              <w:rPr>
                <w:szCs w:val="21"/>
                <w:highlight w:val="none"/>
              </w:rPr>
            </w:pPr>
            <w:r>
              <w:rPr>
                <w:rFonts w:hint="eastAsia"/>
                <w:szCs w:val="21"/>
                <w:highlight w:val="none"/>
              </w:rPr>
              <w:t>备注</w:t>
            </w:r>
          </w:p>
        </w:tc>
      </w:tr>
      <w:tr w14:paraId="4EDF6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1A85F3E9">
            <w:pPr>
              <w:snapToGrid w:val="0"/>
              <w:spacing w:line="360" w:lineRule="auto"/>
              <w:jc w:val="left"/>
              <w:rPr>
                <w:szCs w:val="21"/>
                <w:highlight w:val="none"/>
              </w:rPr>
            </w:pPr>
            <w:r>
              <w:rPr>
                <w:rFonts w:hint="eastAsia"/>
                <w:szCs w:val="21"/>
                <w:highlight w:val="none"/>
              </w:rPr>
              <w:t>□工程立项文件</w:t>
            </w:r>
          </w:p>
        </w:tc>
        <w:tc>
          <w:tcPr>
            <w:tcW w:w="1491" w:type="dxa"/>
            <w:noWrap/>
            <w:vAlign w:val="center"/>
          </w:tcPr>
          <w:p w14:paraId="1FEB026B">
            <w:pPr>
              <w:snapToGrid w:val="0"/>
              <w:spacing w:line="360" w:lineRule="auto"/>
              <w:jc w:val="left"/>
              <w:rPr>
                <w:szCs w:val="21"/>
                <w:highlight w:val="none"/>
              </w:rPr>
            </w:pPr>
            <w:r>
              <w:rPr>
                <w:szCs w:val="21"/>
                <w:highlight w:val="none"/>
              </w:rPr>
              <w:t>1</w:t>
            </w:r>
          </w:p>
        </w:tc>
        <w:tc>
          <w:tcPr>
            <w:tcW w:w="2147" w:type="dxa"/>
            <w:noWrap/>
            <w:vAlign w:val="center"/>
          </w:tcPr>
          <w:p w14:paraId="15C8955F">
            <w:pPr>
              <w:snapToGrid w:val="0"/>
              <w:spacing w:line="360" w:lineRule="auto"/>
              <w:jc w:val="left"/>
              <w:rPr>
                <w:szCs w:val="21"/>
                <w:highlight w:val="none"/>
              </w:rPr>
            </w:pPr>
            <w:r>
              <w:rPr>
                <w:rFonts w:hint="eastAsia"/>
                <w:szCs w:val="21"/>
                <w:highlight w:val="none"/>
              </w:rPr>
              <w:t>合同签订后</w:t>
            </w:r>
          </w:p>
        </w:tc>
        <w:tc>
          <w:tcPr>
            <w:tcW w:w="2082" w:type="dxa"/>
            <w:noWrap/>
            <w:vAlign w:val="center"/>
          </w:tcPr>
          <w:p w14:paraId="4B171076">
            <w:pPr>
              <w:snapToGrid w:val="0"/>
              <w:spacing w:line="360" w:lineRule="auto"/>
              <w:jc w:val="left"/>
              <w:rPr>
                <w:szCs w:val="21"/>
                <w:highlight w:val="none"/>
              </w:rPr>
            </w:pPr>
          </w:p>
        </w:tc>
      </w:tr>
      <w:tr w14:paraId="3F076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6C51C748">
            <w:pPr>
              <w:snapToGrid w:val="0"/>
              <w:spacing w:line="360" w:lineRule="auto"/>
              <w:jc w:val="left"/>
              <w:rPr>
                <w:szCs w:val="21"/>
                <w:highlight w:val="none"/>
              </w:rPr>
            </w:pPr>
            <w:r>
              <w:rPr>
                <w:rFonts w:hint="eastAsia"/>
                <w:szCs w:val="21"/>
                <w:highlight w:val="none"/>
              </w:rPr>
              <w:t>□</w:t>
            </w:r>
          </w:p>
        </w:tc>
        <w:tc>
          <w:tcPr>
            <w:tcW w:w="1491" w:type="dxa"/>
            <w:noWrap/>
            <w:vAlign w:val="center"/>
          </w:tcPr>
          <w:p w14:paraId="18570720">
            <w:pPr>
              <w:snapToGrid w:val="0"/>
              <w:spacing w:line="360" w:lineRule="auto"/>
              <w:jc w:val="left"/>
              <w:rPr>
                <w:szCs w:val="21"/>
                <w:highlight w:val="none"/>
              </w:rPr>
            </w:pPr>
          </w:p>
        </w:tc>
        <w:tc>
          <w:tcPr>
            <w:tcW w:w="2147" w:type="dxa"/>
            <w:noWrap/>
            <w:vAlign w:val="center"/>
          </w:tcPr>
          <w:p w14:paraId="5DB914BD">
            <w:pPr>
              <w:snapToGrid w:val="0"/>
              <w:spacing w:line="360" w:lineRule="auto"/>
              <w:jc w:val="left"/>
              <w:rPr>
                <w:szCs w:val="21"/>
                <w:highlight w:val="none"/>
              </w:rPr>
            </w:pPr>
          </w:p>
        </w:tc>
        <w:tc>
          <w:tcPr>
            <w:tcW w:w="2082" w:type="dxa"/>
            <w:noWrap/>
            <w:vAlign w:val="center"/>
          </w:tcPr>
          <w:p w14:paraId="205D86C1">
            <w:pPr>
              <w:snapToGrid w:val="0"/>
              <w:spacing w:line="360" w:lineRule="auto"/>
              <w:jc w:val="left"/>
              <w:rPr>
                <w:szCs w:val="21"/>
                <w:highlight w:val="none"/>
              </w:rPr>
            </w:pPr>
          </w:p>
        </w:tc>
      </w:tr>
      <w:tr w14:paraId="7DEDF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1A713AE7">
            <w:pPr>
              <w:snapToGrid w:val="0"/>
              <w:spacing w:line="360" w:lineRule="auto"/>
              <w:jc w:val="left"/>
              <w:rPr>
                <w:szCs w:val="21"/>
                <w:highlight w:val="none"/>
              </w:rPr>
            </w:pPr>
            <w:r>
              <w:rPr>
                <w:rFonts w:hint="eastAsia"/>
                <w:szCs w:val="21"/>
                <w:highlight w:val="none"/>
              </w:rPr>
              <w:t>□</w:t>
            </w:r>
          </w:p>
        </w:tc>
        <w:tc>
          <w:tcPr>
            <w:tcW w:w="1491" w:type="dxa"/>
            <w:noWrap/>
            <w:vAlign w:val="center"/>
          </w:tcPr>
          <w:p w14:paraId="04ED7A53">
            <w:pPr>
              <w:snapToGrid w:val="0"/>
              <w:spacing w:line="360" w:lineRule="auto"/>
              <w:jc w:val="left"/>
              <w:rPr>
                <w:szCs w:val="21"/>
                <w:highlight w:val="none"/>
              </w:rPr>
            </w:pPr>
          </w:p>
        </w:tc>
        <w:tc>
          <w:tcPr>
            <w:tcW w:w="2147" w:type="dxa"/>
            <w:noWrap/>
            <w:vAlign w:val="center"/>
          </w:tcPr>
          <w:p w14:paraId="257A83CB">
            <w:pPr>
              <w:snapToGrid w:val="0"/>
              <w:spacing w:line="360" w:lineRule="auto"/>
              <w:jc w:val="left"/>
              <w:rPr>
                <w:szCs w:val="21"/>
                <w:highlight w:val="none"/>
              </w:rPr>
            </w:pPr>
          </w:p>
        </w:tc>
        <w:tc>
          <w:tcPr>
            <w:tcW w:w="2082" w:type="dxa"/>
            <w:noWrap/>
            <w:vAlign w:val="center"/>
          </w:tcPr>
          <w:p w14:paraId="681EBAB7">
            <w:pPr>
              <w:snapToGrid w:val="0"/>
              <w:spacing w:line="360" w:lineRule="auto"/>
              <w:jc w:val="left"/>
              <w:rPr>
                <w:szCs w:val="21"/>
                <w:highlight w:val="none"/>
              </w:rPr>
            </w:pPr>
          </w:p>
        </w:tc>
      </w:tr>
      <w:tr w14:paraId="3EA7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2C818612">
            <w:pPr>
              <w:snapToGrid w:val="0"/>
              <w:spacing w:line="360" w:lineRule="auto"/>
              <w:jc w:val="left"/>
              <w:rPr>
                <w:szCs w:val="21"/>
                <w:highlight w:val="none"/>
              </w:rPr>
            </w:pPr>
            <w:r>
              <w:rPr>
                <w:rFonts w:hint="eastAsia"/>
                <w:szCs w:val="21"/>
                <w:highlight w:val="none"/>
              </w:rPr>
              <w:t>□</w:t>
            </w:r>
          </w:p>
        </w:tc>
        <w:tc>
          <w:tcPr>
            <w:tcW w:w="1491" w:type="dxa"/>
            <w:noWrap/>
            <w:vAlign w:val="center"/>
          </w:tcPr>
          <w:p w14:paraId="00011EF5">
            <w:pPr>
              <w:snapToGrid w:val="0"/>
              <w:spacing w:line="360" w:lineRule="auto"/>
              <w:jc w:val="left"/>
              <w:rPr>
                <w:szCs w:val="21"/>
                <w:highlight w:val="none"/>
              </w:rPr>
            </w:pPr>
          </w:p>
        </w:tc>
        <w:tc>
          <w:tcPr>
            <w:tcW w:w="2147" w:type="dxa"/>
            <w:noWrap/>
            <w:vAlign w:val="center"/>
          </w:tcPr>
          <w:p w14:paraId="460D5C3E">
            <w:pPr>
              <w:snapToGrid w:val="0"/>
              <w:spacing w:line="360" w:lineRule="auto"/>
              <w:jc w:val="left"/>
              <w:rPr>
                <w:szCs w:val="21"/>
                <w:highlight w:val="none"/>
              </w:rPr>
            </w:pPr>
          </w:p>
        </w:tc>
        <w:tc>
          <w:tcPr>
            <w:tcW w:w="2082" w:type="dxa"/>
            <w:noWrap/>
            <w:vAlign w:val="center"/>
          </w:tcPr>
          <w:p w14:paraId="09989C0E">
            <w:pPr>
              <w:snapToGrid w:val="0"/>
              <w:spacing w:line="360" w:lineRule="auto"/>
              <w:jc w:val="left"/>
              <w:rPr>
                <w:szCs w:val="21"/>
                <w:highlight w:val="none"/>
              </w:rPr>
            </w:pPr>
          </w:p>
        </w:tc>
      </w:tr>
    </w:tbl>
    <w:p w14:paraId="42FB1AD2">
      <w:pPr>
        <w:adjustRightInd w:val="0"/>
        <w:snapToGrid w:val="0"/>
        <w:spacing w:line="360" w:lineRule="auto"/>
        <w:ind w:firstLine="420" w:firstLineChars="200"/>
        <w:jc w:val="left"/>
        <w:rPr>
          <w:szCs w:val="21"/>
          <w:highlight w:val="none"/>
        </w:rPr>
      </w:pPr>
      <w:r>
        <w:rPr>
          <w:szCs w:val="21"/>
          <w:highlight w:val="none"/>
        </w:rPr>
        <w:t xml:space="preserve">3.2 </w:t>
      </w:r>
      <w:r>
        <w:rPr>
          <w:rFonts w:hint="eastAsia"/>
          <w:szCs w:val="21"/>
          <w:highlight w:val="none"/>
        </w:rPr>
        <w:t>提供工作条件</w:t>
      </w:r>
    </w:p>
    <w:p w14:paraId="3640C8B3">
      <w:pPr>
        <w:adjustRightInd w:val="0"/>
        <w:snapToGrid w:val="0"/>
        <w:spacing w:line="360" w:lineRule="auto"/>
        <w:ind w:firstLine="420" w:firstLineChars="200"/>
        <w:jc w:val="left"/>
        <w:rPr>
          <w:szCs w:val="21"/>
          <w:highlight w:val="none"/>
        </w:rPr>
      </w:pPr>
      <w:r>
        <w:rPr>
          <w:rFonts w:hint="eastAsia"/>
          <w:szCs w:val="21"/>
          <w:highlight w:val="none"/>
        </w:rPr>
        <w:t>委托人应按照下表约定，派遣相应的人员，提供房屋、设备，供受托人无偿使用。</w:t>
      </w:r>
    </w:p>
    <w:p w14:paraId="6E604FC5">
      <w:pPr>
        <w:adjustRightInd w:val="0"/>
        <w:snapToGrid w:val="0"/>
        <w:spacing w:line="360" w:lineRule="auto"/>
        <w:ind w:firstLine="420" w:firstLineChars="200"/>
        <w:jc w:val="left"/>
        <w:rPr>
          <w:b/>
          <w:szCs w:val="21"/>
          <w:highlight w:val="none"/>
        </w:rPr>
      </w:pPr>
      <w:r>
        <w:rPr>
          <w:rFonts w:hint="eastAsia"/>
          <w:b/>
          <w:szCs w:val="21"/>
          <w:highlight w:val="none"/>
        </w:rPr>
        <w:t>委托人派遣的人员</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1179B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tcPr>
          <w:p w14:paraId="7FE1231C">
            <w:pPr>
              <w:adjustRightInd w:val="0"/>
              <w:snapToGrid w:val="0"/>
              <w:spacing w:line="360" w:lineRule="auto"/>
              <w:ind w:firstLine="420" w:firstLineChars="200"/>
              <w:jc w:val="left"/>
              <w:rPr>
                <w:szCs w:val="21"/>
                <w:highlight w:val="none"/>
              </w:rPr>
            </w:pPr>
            <w:r>
              <w:rPr>
                <w:rFonts w:hint="eastAsia"/>
                <w:szCs w:val="21"/>
                <w:highlight w:val="none"/>
              </w:rPr>
              <w:t>名称</w:t>
            </w:r>
          </w:p>
        </w:tc>
        <w:tc>
          <w:tcPr>
            <w:tcW w:w="1770" w:type="dxa"/>
            <w:noWrap/>
          </w:tcPr>
          <w:p w14:paraId="7B0CF4C3">
            <w:pPr>
              <w:adjustRightInd w:val="0"/>
              <w:snapToGrid w:val="0"/>
              <w:spacing w:line="360" w:lineRule="auto"/>
              <w:ind w:firstLine="420" w:firstLineChars="200"/>
              <w:jc w:val="left"/>
              <w:rPr>
                <w:szCs w:val="21"/>
                <w:highlight w:val="none"/>
              </w:rPr>
            </w:pPr>
            <w:r>
              <w:rPr>
                <w:rFonts w:hint="eastAsia"/>
                <w:szCs w:val="21"/>
                <w:highlight w:val="none"/>
              </w:rPr>
              <w:t>数量</w:t>
            </w:r>
          </w:p>
        </w:tc>
        <w:tc>
          <w:tcPr>
            <w:tcW w:w="2130" w:type="dxa"/>
            <w:noWrap/>
          </w:tcPr>
          <w:p w14:paraId="3B16C5F7">
            <w:pPr>
              <w:adjustRightInd w:val="0"/>
              <w:snapToGrid w:val="0"/>
              <w:spacing w:line="360" w:lineRule="auto"/>
              <w:ind w:firstLine="420" w:firstLineChars="200"/>
              <w:jc w:val="left"/>
              <w:rPr>
                <w:szCs w:val="21"/>
                <w:highlight w:val="none"/>
              </w:rPr>
            </w:pPr>
            <w:r>
              <w:rPr>
                <w:rFonts w:hint="eastAsia"/>
                <w:szCs w:val="21"/>
                <w:highlight w:val="none"/>
              </w:rPr>
              <w:t>工作要求</w:t>
            </w:r>
          </w:p>
        </w:tc>
        <w:tc>
          <w:tcPr>
            <w:tcW w:w="1860" w:type="dxa"/>
            <w:noWrap/>
          </w:tcPr>
          <w:p w14:paraId="73B56893">
            <w:pPr>
              <w:adjustRightInd w:val="0"/>
              <w:snapToGrid w:val="0"/>
              <w:spacing w:line="360" w:lineRule="auto"/>
              <w:ind w:firstLine="420" w:firstLineChars="200"/>
              <w:jc w:val="left"/>
              <w:rPr>
                <w:szCs w:val="21"/>
                <w:highlight w:val="none"/>
              </w:rPr>
            </w:pPr>
            <w:r>
              <w:rPr>
                <w:rFonts w:hint="eastAsia"/>
                <w:szCs w:val="21"/>
                <w:highlight w:val="none"/>
              </w:rPr>
              <w:t>提供时间</w:t>
            </w:r>
          </w:p>
        </w:tc>
      </w:tr>
      <w:tr w14:paraId="4301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04D71068">
            <w:pPr>
              <w:snapToGrid w:val="0"/>
              <w:spacing w:line="360" w:lineRule="auto"/>
              <w:ind w:firstLine="420" w:firstLineChars="200"/>
              <w:jc w:val="left"/>
              <w:rPr>
                <w:szCs w:val="21"/>
                <w:highlight w:val="none"/>
              </w:rPr>
            </w:pPr>
            <w:r>
              <w:rPr>
                <w:szCs w:val="21"/>
                <w:highlight w:val="none"/>
              </w:rPr>
              <w:t>1.</w:t>
            </w:r>
          </w:p>
        </w:tc>
        <w:tc>
          <w:tcPr>
            <w:tcW w:w="1770" w:type="dxa"/>
            <w:noWrap/>
            <w:vAlign w:val="center"/>
          </w:tcPr>
          <w:p w14:paraId="499D23F9">
            <w:pPr>
              <w:snapToGrid w:val="0"/>
              <w:spacing w:line="360" w:lineRule="auto"/>
              <w:ind w:firstLine="420" w:firstLineChars="200"/>
              <w:jc w:val="left"/>
              <w:rPr>
                <w:szCs w:val="21"/>
                <w:highlight w:val="none"/>
              </w:rPr>
            </w:pPr>
          </w:p>
        </w:tc>
        <w:tc>
          <w:tcPr>
            <w:tcW w:w="2130" w:type="dxa"/>
            <w:noWrap/>
            <w:vAlign w:val="center"/>
          </w:tcPr>
          <w:p w14:paraId="2C79D828">
            <w:pPr>
              <w:snapToGrid w:val="0"/>
              <w:spacing w:line="360" w:lineRule="auto"/>
              <w:ind w:firstLine="420" w:firstLineChars="200"/>
              <w:jc w:val="left"/>
              <w:rPr>
                <w:szCs w:val="21"/>
                <w:highlight w:val="none"/>
              </w:rPr>
            </w:pPr>
          </w:p>
        </w:tc>
        <w:tc>
          <w:tcPr>
            <w:tcW w:w="1860" w:type="dxa"/>
            <w:noWrap/>
            <w:vAlign w:val="center"/>
          </w:tcPr>
          <w:p w14:paraId="5966420F">
            <w:pPr>
              <w:snapToGrid w:val="0"/>
              <w:spacing w:line="360" w:lineRule="auto"/>
              <w:ind w:firstLine="420" w:firstLineChars="200"/>
              <w:jc w:val="left"/>
              <w:rPr>
                <w:szCs w:val="21"/>
                <w:highlight w:val="none"/>
              </w:rPr>
            </w:pPr>
          </w:p>
        </w:tc>
      </w:tr>
      <w:tr w14:paraId="28FD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1BD7C959">
            <w:pPr>
              <w:snapToGrid w:val="0"/>
              <w:spacing w:line="360" w:lineRule="auto"/>
              <w:ind w:firstLine="420" w:firstLineChars="200"/>
              <w:jc w:val="left"/>
              <w:rPr>
                <w:szCs w:val="21"/>
                <w:highlight w:val="none"/>
              </w:rPr>
            </w:pPr>
            <w:r>
              <w:rPr>
                <w:szCs w:val="21"/>
                <w:highlight w:val="none"/>
              </w:rPr>
              <w:t>2.</w:t>
            </w:r>
          </w:p>
        </w:tc>
        <w:tc>
          <w:tcPr>
            <w:tcW w:w="1770" w:type="dxa"/>
            <w:noWrap/>
            <w:vAlign w:val="center"/>
          </w:tcPr>
          <w:p w14:paraId="40542EBA">
            <w:pPr>
              <w:snapToGrid w:val="0"/>
              <w:spacing w:line="360" w:lineRule="auto"/>
              <w:ind w:firstLine="420" w:firstLineChars="200"/>
              <w:jc w:val="left"/>
              <w:rPr>
                <w:szCs w:val="21"/>
                <w:highlight w:val="none"/>
              </w:rPr>
            </w:pPr>
          </w:p>
        </w:tc>
        <w:tc>
          <w:tcPr>
            <w:tcW w:w="2130" w:type="dxa"/>
            <w:noWrap/>
            <w:vAlign w:val="center"/>
          </w:tcPr>
          <w:p w14:paraId="789175C6">
            <w:pPr>
              <w:snapToGrid w:val="0"/>
              <w:spacing w:line="360" w:lineRule="auto"/>
              <w:ind w:firstLine="420" w:firstLineChars="200"/>
              <w:jc w:val="left"/>
              <w:rPr>
                <w:szCs w:val="21"/>
                <w:highlight w:val="none"/>
              </w:rPr>
            </w:pPr>
          </w:p>
        </w:tc>
        <w:tc>
          <w:tcPr>
            <w:tcW w:w="1860" w:type="dxa"/>
            <w:noWrap/>
            <w:vAlign w:val="center"/>
          </w:tcPr>
          <w:p w14:paraId="7F6035D2">
            <w:pPr>
              <w:snapToGrid w:val="0"/>
              <w:spacing w:line="360" w:lineRule="auto"/>
              <w:ind w:firstLine="420" w:firstLineChars="200"/>
              <w:jc w:val="left"/>
              <w:rPr>
                <w:szCs w:val="21"/>
                <w:highlight w:val="none"/>
              </w:rPr>
            </w:pPr>
          </w:p>
        </w:tc>
      </w:tr>
      <w:tr w14:paraId="5FFB3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27F2F1D5">
            <w:pPr>
              <w:snapToGrid w:val="0"/>
              <w:spacing w:line="360" w:lineRule="auto"/>
              <w:ind w:firstLine="420" w:firstLineChars="200"/>
              <w:jc w:val="left"/>
              <w:rPr>
                <w:szCs w:val="21"/>
                <w:highlight w:val="none"/>
              </w:rPr>
            </w:pPr>
            <w:r>
              <w:rPr>
                <w:szCs w:val="21"/>
                <w:highlight w:val="none"/>
              </w:rPr>
              <w:t>3.</w:t>
            </w:r>
          </w:p>
        </w:tc>
        <w:tc>
          <w:tcPr>
            <w:tcW w:w="1770" w:type="dxa"/>
            <w:noWrap/>
            <w:vAlign w:val="center"/>
          </w:tcPr>
          <w:p w14:paraId="2E344E8C">
            <w:pPr>
              <w:snapToGrid w:val="0"/>
              <w:spacing w:line="360" w:lineRule="auto"/>
              <w:ind w:firstLine="420" w:firstLineChars="200"/>
              <w:jc w:val="left"/>
              <w:rPr>
                <w:szCs w:val="21"/>
                <w:highlight w:val="none"/>
              </w:rPr>
            </w:pPr>
          </w:p>
        </w:tc>
        <w:tc>
          <w:tcPr>
            <w:tcW w:w="2130" w:type="dxa"/>
            <w:noWrap/>
            <w:vAlign w:val="center"/>
          </w:tcPr>
          <w:p w14:paraId="27B6265B">
            <w:pPr>
              <w:snapToGrid w:val="0"/>
              <w:spacing w:line="360" w:lineRule="auto"/>
              <w:ind w:firstLine="420" w:firstLineChars="200"/>
              <w:jc w:val="left"/>
              <w:rPr>
                <w:szCs w:val="21"/>
                <w:highlight w:val="none"/>
              </w:rPr>
            </w:pPr>
          </w:p>
        </w:tc>
        <w:tc>
          <w:tcPr>
            <w:tcW w:w="1860" w:type="dxa"/>
            <w:noWrap/>
            <w:vAlign w:val="center"/>
          </w:tcPr>
          <w:p w14:paraId="11EA2E34">
            <w:pPr>
              <w:snapToGrid w:val="0"/>
              <w:spacing w:line="360" w:lineRule="auto"/>
              <w:ind w:firstLine="420" w:firstLineChars="200"/>
              <w:jc w:val="left"/>
              <w:rPr>
                <w:szCs w:val="21"/>
                <w:highlight w:val="none"/>
              </w:rPr>
            </w:pPr>
          </w:p>
        </w:tc>
      </w:tr>
    </w:tbl>
    <w:p w14:paraId="4456BD56">
      <w:pPr>
        <w:adjustRightInd w:val="0"/>
        <w:snapToGrid w:val="0"/>
        <w:spacing w:line="360" w:lineRule="auto"/>
        <w:ind w:firstLine="420" w:firstLineChars="200"/>
        <w:jc w:val="left"/>
        <w:rPr>
          <w:b/>
          <w:szCs w:val="21"/>
          <w:highlight w:val="none"/>
        </w:rPr>
      </w:pPr>
      <w:r>
        <w:rPr>
          <w:rFonts w:hint="eastAsia"/>
          <w:b/>
          <w:szCs w:val="21"/>
          <w:highlight w:val="none"/>
        </w:rPr>
        <w:t>委托人提供的房屋</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1BD4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tcPr>
          <w:p w14:paraId="4EAA646F">
            <w:pPr>
              <w:adjustRightInd w:val="0"/>
              <w:snapToGrid w:val="0"/>
              <w:spacing w:line="360" w:lineRule="auto"/>
              <w:jc w:val="left"/>
              <w:rPr>
                <w:szCs w:val="21"/>
                <w:highlight w:val="none"/>
              </w:rPr>
            </w:pPr>
            <w:r>
              <w:rPr>
                <w:rFonts w:hint="eastAsia"/>
                <w:szCs w:val="21"/>
                <w:highlight w:val="none"/>
              </w:rPr>
              <w:t>名称</w:t>
            </w:r>
          </w:p>
        </w:tc>
        <w:tc>
          <w:tcPr>
            <w:tcW w:w="2130" w:type="dxa"/>
            <w:noWrap/>
          </w:tcPr>
          <w:p w14:paraId="79DBC825">
            <w:pPr>
              <w:adjustRightInd w:val="0"/>
              <w:snapToGrid w:val="0"/>
              <w:spacing w:line="360" w:lineRule="auto"/>
              <w:jc w:val="left"/>
              <w:rPr>
                <w:szCs w:val="21"/>
                <w:highlight w:val="none"/>
              </w:rPr>
            </w:pPr>
            <w:r>
              <w:rPr>
                <w:rFonts w:hint="eastAsia"/>
                <w:szCs w:val="21"/>
                <w:highlight w:val="none"/>
              </w:rPr>
              <w:t>数量</w:t>
            </w:r>
          </w:p>
        </w:tc>
        <w:tc>
          <w:tcPr>
            <w:tcW w:w="2130" w:type="dxa"/>
            <w:noWrap/>
          </w:tcPr>
          <w:p w14:paraId="7F9A1AC4">
            <w:pPr>
              <w:adjustRightInd w:val="0"/>
              <w:snapToGrid w:val="0"/>
              <w:spacing w:line="360" w:lineRule="auto"/>
              <w:jc w:val="left"/>
              <w:rPr>
                <w:szCs w:val="21"/>
                <w:highlight w:val="none"/>
              </w:rPr>
            </w:pPr>
            <w:r>
              <w:rPr>
                <w:rFonts w:hint="eastAsia"/>
                <w:szCs w:val="21"/>
                <w:highlight w:val="none"/>
              </w:rPr>
              <w:t>面积</w:t>
            </w:r>
          </w:p>
        </w:tc>
        <w:tc>
          <w:tcPr>
            <w:tcW w:w="1860" w:type="dxa"/>
            <w:noWrap/>
          </w:tcPr>
          <w:p w14:paraId="5601BDA0">
            <w:pPr>
              <w:adjustRightInd w:val="0"/>
              <w:snapToGrid w:val="0"/>
              <w:spacing w:line="360" w:lineRule="auto"/>
              <w:jc w:val="left"/>
              <w:rPr>
                <w:szCs w:val="21"/>
                <w:highlight w:val="none"/>
              </w:rPr>
            </w:pPr>
            <w:r>
              <w:rPr>
                <w:rFonts w:hint="eastAsia"/>
                <w:szCs w:val="21"/>
                <w:highlight w:val="none"/>
              </w:rPr>
              <w:t>提供时间</w:t>
            </w:r>
          </w:p>
        </w:tc>
      </w:tr>
      <w:tr w14:paraId="122D1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40D96C44">
            <w:pPr>
              <w:snapToGrid w:val="0"/>
              <w:spacing w:line="360" w:lineRule="auto"/>
              <w:jc w:val="left"/>
              <w:rPr>
                <w:szCs w:val="21"/>
                <w:highlight w:val="none"/>
              </w:rPr>
            </w:pPr>
            <w:r>
              <w:rPr>
                <w:szCs w:val="21"/>
                <w:highlight w:val="none"/>
              </w:rPr>
              <w:t xml:space="preserve">1. </w:t>
            </w:r>
            <w:r>
              <w:rPr>
                <w:rFonts w:hint="eastAsia"/>
                <w:szCs w:val="21"/>
                <w:highlight w:val="none"/>
              </w:rPr>
              <w:t>办公用房</w:t>
            </w:r>
          </w:p>
        </w:tc>
        <w:tc>
          <w:tcPr>
            <w:tcW w:w="2130" w:type="dxa"/>
            <w:noWrap/>
            <w:vAlign w:val="center"/>
          </w:tcPr>
          <w:p w14:paraId="701B46FD">
            <w:pPr>
              <w:snapToGrid w:val="0"/>
              <w:spacing w:line="360" w:lineRule="auto"/>
              <w:jc w:val="left"/>
              <w:rPr>
                <w:szCs w:val="21"/>
                <w:highlight w:val="none"/>
              </w:rPr>
            </w:pPr>
          </w:p>
        </w:tc>
        <w:tc>
          <w:tcPr>
            <w:tcW w:w="2130" w:type="dxa"/>
            <w:noWrap/>
            <w:vAlign w:val="center"/>
          </w:tcPr>
          <w:p w14:paraId="617F5364">
            <w:pPr>
              <w:snapToGrid w:val="0"/>
              <w:spacing w:line="360" w:lineRule="auto"/>
              <w:jc w:val="left"/>
              <w:rPr>
                <w:szCs w:val="21"/>
                <w:highlight w:val="none"/>
              </w:rPr>
            </w:pPr>
          </w:p>
        </w:tc>
        <w:tc>
          <w:tcPr>
            <w:tcW w:w="1860" w:type="dxa"/>
            <w:noWrap/>
            <w:vAlign w:val="center"/>
          </w:tcPr>
          <w:p w14:paraId="6CAF0A5A">
            <w:pPr>
              <w:snapToGrid w:val="0"/>
              <w:spacing w:line="360" w:lineRule="auto"/>
              <w:jc w:val="left"/>
              <w:rPr>
                <w:szCs w:val="21"/>
                <w:highlight w:val="none"/>
              </w:rPr>
            </w:pPr>
          </w:p>
        </w:tc>
      </w:tr>
      <w:tr w14:paraId="6D79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669FDF8A">
            <w:pPr>
              <w:snapToGrid w:val="0"/>
              <w:spacing w:line="360" w:lineRule="auto"/>
              <w:jc w:val="left"/>
              <w:rPr>
                <w:szCs w:val="21"/>
                <w:highlight w:val="none"/>
              </w:rPr>
            </w:pPr>
            <w:r>
              <w:rPr>
                <w:szCs w:val="21"/>
                <w:highlight w:val="none"/>
              </w:rPr>
              <w:t xml:space="preserve">2. </w:t>
            </w:r>
            <w:r>
              <w:rPr>
                <w:rFonts w:hint="eastAsia"/>
                <w:szCs w:val="21"/>
                <w:highlight w:val="none"/>
              </w:rPr>
              <w:t>生活用房</w:t>
            </w:r>
          </w:p>
        </w:tc>
        <w:tc>
          <w:tcPr>
            <w:tcW w:w="2130" w:type="dxa"/>
            <w:noWrap/>
            <w:vAlign w:val="center"/>
          </w:tcPr>
          <w:p w14:paraId="1E4FA8DF">
            <w:pPr>
              <w:snapToGrid w:val="0"/>
              <w:spacing w:line="360" w:lineRule="auto"/>
              <w:jc w:val="left"/>
              <w:rPr>
                <w:szCs w:val="21"/>
                <w:highlight w:val="none"/>
              </w:rPr>
            </w:pPr>
          </w:p>
        </w:tc>
        <w:tc>
          <w:tcPr>
            <w:tcW w:w="2130" w:type="dxa"/>
            <w:noWrap/>
            <w:vAlign w:val="center"/>
          </w:tcPr>
          <w:p w14:paraId="710E3086">
            <w:pPr>
              <w:snapToGrid w:val="0"/>
              <w:spacing w:line="360" w:lineRule="auto"/>
              <w:jc w:val="left"/>
              <w:rPr>
                <w:szCs w:val="21"/>
                <w:highlight w:val="none"/>
              </w:rPr>
            </w:pPr>
          </w:p>
        </w:tc>
        <w:tc>
          <w:tcPr>
            <w:tcW w:w="1860" w:type="dxa"/>
            <w:noWrap/>
            <w:vAlign w:val="center"/>
          </w:tcPr>
          <w:p w14:paraId="486889C1">
            <w:pPr>
              <w:snapToGrid w:val="0"/>
              <w:spacing w:line="360" w:lineRule="auto"/>
              <w:jc w:val="left"/>
              <w:rPr>
                <w:szCs w:val="21"/>
                <w:highlight w:val="none"/>
              </w:rPr>
            </w:pPr>
          </w:p>
        </w:tc>
      </w:tr>
      <w:tr w14:paraId="12470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687E9F36">
            <w:pPr>
              <w:snapToGrid w:val="0"/>
              <w:spacing w:line="360" w:lineRule="auto"/>
              <w:jc w:val="left"/>
              <w:rPr>
                <w:dstrike/>
                <w:szCs w:val="21"/>
                <w:highlight w:val="none"/>
              </w:rPr>
            </w:pPr>
            <w:r>
              <w:rPr>
                <w:szCs w:val="21"/>
                <w:highlight w:val="none"/>
              </w:rPr>
              <w:t xml:space="preserve">3. </w:t>
            </w:r>
            <w:r>
              <w:rPr>
                <w:rFonts w:hint="eastAsia"/>
                <w:szCs w:val="21"/>
                <w:highlight w:val="none"/>
              </w:rPr>
              <w:t>试验用房</w:t>
            </w:r>
          </w:p>
        </w:tc>
        <w:tc>
          <w:tcPr>
            <w:tcW w:w="2130" w:type="dxa"/>
            <w:noWrap/>
            <w:vAlign w:val="center"/>
          </w:tcPr>
          <w:p w14:paraId="5CAEC158">
            <w:pPr>
              <w:snapToGrid w:val="0"/>
              <w:spacing w:line="360" w:lineRule="auto"/>
              <w:jc w:val="left"/>
              <w:rPr>
                <w:szCs w:val="21"/>
                <w:highlight w:val="none"/>
              </w:rPr>
            </w:pPr>
          </w:p>
        </w:tc>
        <w:tc>
          <w:tcPr>
            <w:tcW w:w="2130" w:type="dxa"/>
            <w:noWrap/>
            <w:vAlign w:val="center"/>
          </w:tcPr>
          <w:p w14:paraId="373C27EF">
            <w:pPr>
              <w:snapToGrid w:val="0"/>
              <w:spacing w:line="360" w:lineRule="auto"/>
              <w:jc w:val="left"/>
              <w:rPr>
                <w:szCs w:val="21"/>
                <w:highlight w:val="none"/>
              </w:rPr>
            </w:pPr>
          </w:p>
        </w:tc>
        <w:tc>
          <w:tcPr>
            <w:tcW w:w="1860" w:type="dxa"/>
            <w:noWrap/>
            <w:vAlign w:val="center"/>
          </w:tcPr>
          <w:p w14:paraId="19D4C2EF">
            <w:pPr>
              <w:snapToGrid w:val="0"/>
              <w:spacing w:line="360" w:lineRule="auto"/>
              <w:jc w:val="left"/>
              <w:rPr>
                <w:szCs w:val="21"/>
                <w:highlight w:val="none"/>
              </w:rPr>
            </w:pPr>
          </w:p>
        </w:tc>
      </w:tr>
      <w:tr w14:paraId="66473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4AC168AF">
            <w:pPr>
              <w:snapToGrid w:val="0"/>
              <w:spacing w:line="360" w:lineRule="auto"/>
              <w:jc w:val="left"/>
              <w:rPr>
                <w:szCs w:val="21"/>
                <w:highlight w:val="none"/>
              </w:rPr>
            </w:pPr>
            <w:r>
              <w:rPr>
                <w:szCs w:val="21"/>
                <w:highlight w:val="none"/>
              </w:rPr>
              <w:t xml:space="preserve">4. </w:t>
            </w:r>
            <w:r>
              <w:rPr>
                <w:rFonts w:hint="eastAsia"/>
                <w:szCs w:val="21"/>
                <w:highlight w:val="none"/>
              </w:rPr>
              <w:t>样品用房</w:t>
            </w:r>
          </w:p>
        </w:tc>
        <w:tc>
          <w:tcPr>
            <w:tcW w:w="2130" w:type="dxa"/>
            <w:noWrap/>
            <w:vAlign w:val="center"/>
          </w:tcPr>
          <w:p w14:paraId="78D9E53A">
            <w:pPr>
              <w:snapToGrid w:val="0"/>
              <w:spacing w:line="360" w:lineRule="auto"/>
              <w:jc w:val="left"/>
              <w:rPr>
                <w:szCs w:val="21"/>
                <w:highlight w:val="none"/>
              </w:rPr>
            </w:pPr>
          </w:p>
        </w:tc>
        <w:tc>
          <w:tcPr>
            <w:tcW w:w="2130" w:type="dxa"/>
            <w:noWrap/>
            <w:vAlign w:val="center"/>
          </w:tcPr>
          <w:p w14:paraId="5A3BD23D">
            <w:pPr>
              <w:snapToGrid w:val="0"/>
              <w:spacing w:line="360" w:lineRule="auto"/>
              <w:jc w:val="left"/>
              <w:rPr>
                <w:szCs w:val="21"/>
                <w:highlight w:val="none"/>
              </w:rPr>
            </w:pPr>
          </w:p>
        </w:tc>
        <w:tc>
          <w:tcPr>
            <w:tcW w:w="1860" w:type="dxa"/>
            <w:noWrap/>
            <w:vAlign w:val="center"/>
          </w:tcPr>
          <w:p w14:paraId="43FD44DA">
            <w:pPr>
              <w:snapToGrid w:val="0"/>
              <w:spacing w:line="360" w:lineRule="auto"/>
              <w:jc w:val="left"/>
              <w:rPr>
                <w:szCs w:val="21"/>
                <w:highlight w:val="none"/>
              </w:rPr>
            </w:pPr>
          </w:p>
        </w:tc>
      </w:tr>
      <w:tr w14:paraId="73B0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564CB577">
            <w:pPr>
              <w:snapToGrid w:val="0"/>
              <w:spacing w:line="360" w:lineRule="auto"/>
              <w:jc w:val="left"/>
              <w:rPr>
                <w:szCs w:val="21"/>
                <w:highlight w:val="none"/>
              </w:rPr>
            </w:pPr>
            <w:r>
              <w:rPr>
                <w:szCs w:val="21"/>
                <w:highlight w:val="none"/>
              </w:rPr>
              <w:t>5.用餐及其他生活条件</w:t>
            </w:r>
          </w:p>
        </w:tc>
        <w:tc>
          <w:tcPr>
            <w:tcW w:w="6120" w:type="dxa"/>
            <w:gridSpan w:val="3"/>
            <w:noWrap/>
            <w:vAlign w:val="center"/>
          </w:tcPr>
          <w:p w14:paraId="57DA7B15">
            <w:pPr>
              <w:snapToGrid w:val="0"/>
              <w:spacing w:line="360" w:lineRule="auto"/>
              <w:jc w:val="left"/>
              <w:rPr>
                <w:szCs w:val="21"/>
                <w:highlight w:val="none"/>
              </w:rPr>
            </w:pPr>
          </w:p>
        </w:tc>
      </w:tr>
    </w:tbl>
    <w:p w14:paraId="50A789C2">
      <w:pPr>
        <w:adjustRightInd w:val="0"/>
        <w:snapToGrid w:val="0"/>
        <w:spacing w:line="360" w:lineRule="auto"/>
        <w:ind w:firstLine="420" w:firstLineChars="200"/>
        <w:jc w:val="left"/>
        <w:rPr>
          <w:b/>
          <w:szCs w:val="21"/>
          <w:highlight w:val="none"/>
        </w:rPr>
      </w:pPr>
      <w:r>
        <w:rPr>
          <w:rFonts w:hint="eastAsia"/>
          <w:b/>
          <w:szCs w:val="21"/>
          <w:highlight w:val="none"/>
        </w:rPr>
        <w:t>委托人提供的设备</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1E946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465CB6A3">
            <w:pPr>
              <w:adjustRightInd w:val="0"/>
              <w:snapToGrid w:val="0"/>
              <w:spacing w:line="360" w:lineRule="auto"/>
              <w:jc w:val="left"/>
              <w:rPr>
                <w:szCs w:val="21"/>
                <w:highlight w:val="none"/>
              </w:rPr>
            </w:pPr>
            <w:r>
              <w:rPr>
                <w:rFonts w:hint="eastAsia"/>
                <w:szCs w:val="21"/>
                <w:highlight w:val="none"/>
              </w:rPr>
              <w:t>名称</w:t>
            </w:r>
          </w:p>
        </w:tc>
        <w:tc>
          <w:tcPr>
            <w:tcW w:w="1590" w:type="dxa"/>
            <w:noWrap/>
          </w:tcPr>
          <w:p w14:paraId="6DD758EA">
            <w:pPr>
              <w:adjustRightInd w:val="0"/>
              <w:snapToGrid w:val="0"/>
              <w:spacing w:line="360" w:lineRule="auto"/>
              <w:jc w:val="left"/>
              <w:rPr>
                <w:szCs w:val="21"/>
                <w:highlight w:val="none"/>
              </w:rPr>
            </w:pPr>
            <w:r>
              <w:rPr>
                <w:rFonts w:hint="eastAsia"/>
                <w:szCs w:val="21"/>
                <w:highlight w:val="none"/>
              </w:rPr>
              <w:t>数量</w:t>
            </w:r>
          </w:p>
        </w:tc>
        <w:tc>
          <w:tcPr>
            <w:tcW w:w="2130" w:type="dxa"/>
            <w:noWrap/>
          </w:tcPr>
          <w:p w14:paraId="797AF0B5">
            <w:pPr>
              <w:adjustRightInd w:val="0"/>
              <w:snapToGrid w:val="0"/>
              <w:spacing w:line="360" w:lineRule="auto"/>
              <w:jc w:val="left"/>
              <w:rPr>
                <w:szCs w:val="21"/>
                <w:highlight w:val="none"/>
              </w:rPr>
            </w:pPr>
            <w:r>
              <w:rPr>
                <w:rFonts w:hint="eastAsia"/>
                <w:szCs w:val="21"/>
                <w:highlight w:val="none"/>
              </w:rPr>
              <w:t>型号与规格</w:t>
            </w:r>
          </w:p>
        </w:tc>
        <w:tc>
          <w:tcPr>
            <w:tcW w:w="1860" w:type="dxa"/>
            <w:noWrap/>
          </w:tcPr>
          <w:p w14:paraId="7C713893">
            <w:pPr>
              <w:adjustRightInd w:val="0"/>
              <w:snapToGrid w:val="0"/>
              <w:spacing w:line="360" w:lineRule="auto"/>
              <w:jc w:val="left"/>
              <w:rPr>
                <w:szCs w:val="21"/>
                <w:highlight w:val="none"/>
              </w:rPr>
            </w:pPr>
            <w:r>
              <w:rPr>
                <w:rFonts w:hint="eastAsia"/>
                <w:szCs w:val="21"/>
                <w:highlight w:val="none"/>
              </w:rPr>
              <w:t>提供时间</w:t>
            </w:r>
          </w:p>
        </w:tc>
      </w:tr>
      <w:tr w14:paraId="77E0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3DD1074C">
            <w:pPr>
              <w:snapToGrid w:val="0"/>
              <w:spacing w:line="360" w:lineRule="auto"/>
              <w:jc w:val="left"/>
              <w:rPr>
                <w:szCs w:val="21"/>
                <w:highlight w:val="none"/>
              </w:rPr>
            </w:pPr>
            <w:r>
              <w:rPr>
                <w:szCs w:val="21"/>
                <w:highlight w:val="none"/>
              </w:rPr>
              <w:t xml:space="preserve">1. </w:t>
            </w:r>
            <w:r>
              <w:rPr>
                <w:rFonts w:hint="eastAsia"/>
                <w:szCs w:val="21"/>
                <w:highlight w:val="none"/>
              </w:rPr>
              <w:t>通讯设备</w:t>
            </w:r>
          </w:p>
        </w:tc>
        <w:tc>
          <w:tcPr>
            <w:tcW w:w="1590" w:type="dxa"/>
            <w:noWrap/>
          </w:tcPr>
          <w:p w14:paraId="1711BDE3">
            <w:pPr>
              <w:snapToGrid w:val="0"/>
              <w:spacing w:line="360" w:lineRule="auto"/>
              <w:jc w:val="left"/>
              <w:rPr>
                <w:szCs w:val="21"/>
                <w:highlight w:val="none"/>
              </w:rPr>
            </w:pPr>
          </w:p>
        </w:tc>
        <w:tc>
          <w:tcPr>
            <w:tcW w:w="2130" w:type="dxa"/>
            <w:noWrap/>
          </w:tcPr>
          <w:p w14:paraId="1EAE67B0">
            <w:pPr>
              <w:snapToGrid w:val="0"/>
              <w:spacing w:line="360" w:lineRule="auto"/>
              <w:jc w:val="left"/>
              <w:rPr>
                <w:szCs w:val="21"/>
                <w:highlight w:val="none"/>
              </w:rPr>
            </w:pPr>
          </w:p>
        </w:tc>
        <w:tc>
          <w:tcPr>
            <w:tcW w:w="1860" w:type="dxa"/>
            <w:noWrap/>
          </w:tcPr>
          <w:p w14:paraId="23CC8396">
            <w:pPr>
              <w:snapToGrid w:val="0"/>
              <w:spacing w:line="360" w:lineRule="auto"/>
              <w:jc w:val="left"/>
              <w:rPr>
                <w:szCs w:val="21"/>
                <w:highlight w:val="none"/>
              </w:rPr>
            </w:pPr>
          </w:p>
        </w:tc>
      </w:tr>
      <w:tr w14:paraId="29C3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06C89A8F">
            <w:pPr>
              <w:snapToGrid w:val="0"/>
              <w:spacing w:line="360" w:lineRule="auto"/>
              <w:jc w:val="left"/>
              <w:rPr>
                <w:szCs w:val="21"/>
                <w:highlight w:val="none"/>
              </w:rPr>
            </w:pPr>
            <w:r>
              <w:rPr>
                <w:szCs w:val="21"/>
                <w:highlight w:val="none"/>
              </w:rPr>
              <w:t xml:space="preserve">2. </w:t>
            </w:r>
            <w:r>
              <w:rPr>
                <w:rFonts w:hint="eastAsia"/>
                <w:szCs w:val="21"/>
                <w:highlight w:val="none"/>
              </w:rPr>
              <w:t>办公设备</w:t>
            </w:r>
          </w:p>
        </w:tc>
        <w:tc>
          <w:tcPr>
            <w:tcW w:w="1590" w:type="dxa"/>
            <w:noWrap/>
          </w:tcPr>
          <w:p w14:paraId="58DE21CF">
            <w:pPr>
              <w:snapToGrid w:val="0"/>
              <w:spacing w:line="360" w:lineRule="auto"/>
              <w:jc w:val="left"/>
              <w:rPr>
                <w:szCs w:val="21"/>
                <w:highlight w:val="none"/>
              </w:rPr>
            </w:pPr>
          </w:p>
        </w:tc>
        <w:tc>
          <w:tcPr>
            <w:tcW w:w="2130" w:type="dxa"/>
            <w:noWrap/>
          </w:tcPr>
          <w:p w14:paraId="5CC3F570">
            <w:pPr>
              <w:snapToGrid w:val="0"/>
              <w:spacing w:line="360" w:lineRule="auto"/>
              <w:jc w:val="left"/>
              <w:rPr>
                <w:szCs w:val="21"/>
                <w:highlight w:val="none"/>
              </w:rPr>
            </w:pPr>
          </w:p>
        </w:tc>
        <w:tc>
          <w:tcPr>
            <w:tcW w:w="1860" w:type="dxa"/>
            <w:noWrap/>
          </w:tcPr>
          <w:p w14:paraId="64ABB176">
            <w:pPr>
              <w:snapToGrid w:val="0"/>
              <w:spacing w:line="360" w:lineRule="auto"/>
              <w:jc w:val="left"/>
              <w:rPr>
                <w:szCs w:val="21"/>
                <w:highlight w:val="none"/>
              </w:rPr>
            </w:pPr>
          </w:p>
        </w:tc>
      </w:tr>
      <w:tr w14:paraId="6BAA4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5C348C88">
            <w:pPr>
              <w:snapToGrid w:val="0"/>
              <w:spacing w:line="360" w:lineRule="auto"/>
              <w:jc w:val="left"/>
              <w:rPr>
                <w:szCs w:val="21"/>
                <w:highlight w:val="none"/>
              </w:rPr>
            </w:pPr>
            <w:r>
              <w:rPr>
                <w:szCs w:val="21"/>
                <w:highlight w:val="none"/>
              </w:rPr>
              <w:t xml:space="preserve">3. </w:t>
            </w:r>
            <w:r>
              <w:rPr>
                <w:rFonts w:hint="eastAsia"/>
                <w:szCs w:val="21"/>
                <w:highlight w:val="none"/>
              </w:rPr>
              <w:t>交通工具</w:t>
            </w:r>
          </w:p>
        </w:tc>
        <w:tc>
          <w:tcPr>
            <w:tcW w:w="1590" w:type="dxa"/>
            <w:noWrap/>
          </w:tcPr>
          <w:p w14:paraId="67002AF3">
            <w:pPr>
              <w:snapToGrid w:val="0"/>
              <w:spacing w:line="360" w:lineRule="auto"/>
              <w:jc w:val="left"/>
              <w:rPr>
                <w:szCs w:val="21"/>
                <w:highlight w:val="none"/>
              </w:rPr>
            </w:pPr>
          </w:p>
        </w:tc>
        <w:tc>
          <w:tcPr>
            <w:tcW w:w="2130" w:type="dxa"/>
            <w:noWrap/>
          </w:tcPr>
          <w:p w14:paraId="0C7C9B8D">
            <w:pPr>
              <w:snapToGrid w:val="0"/>
              <w:spacing w:line="360" w:lineRule="auto"/>
              <w:jc w:val="left"/>
              <w:rPr>
                <w:szCs w:val="21"/>
                <w:highlight w:val="none"/>
              </w:rPr>
            </w:pPr>
          </w:p>
        </w:tc>
        <w:tc>
          <w:tcPr>
            <w:tcW w:w="1860" w:type="dxa"/>
            <w:noWrap/>
          </w:tcPr>
          <w:p w14:paraId="23681996">
            <w:pPr>
              <w:snapToGrid w:val="0"/>
              <w:spacing w:line="360" w:lineRule="auto"/>
              <w:jc w:val="left"/>
              <w:rPr>
                <w:szCs w:val="21"/>
                <w:highlight w:val="none"/>
              </w:rPr>
            </w:pPr>
          </w:p>
        </w:tc>
      </w:tr>
      <w:tr w14:paraId="7AEF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7F5EE42C">
            <w:pPr>
              <w:snapToGrid w:val="0"/>
              <w:spacing w:line="360" w:lineRule="auto"/>
              <w:jc w:val="left"/>
              <w:rPr>
                <w:szCs w:val="21"/>
                <w:highlight w:val="none"/>
              </w:rPr>
            </w:pPr>
            <w:r>
              <w:rPr>
                <w:szCs w:val="21"/>
                <w:highlight w:val="none"/>
              </w:rPr>
              <w:t xml:space="preserve">4. </w:t>
            </w:r>
            <w:r>
              <w:rPr>
                <w:rFonts w:hint="eastAsia"/>
                <w:szCs w:val="21"/>
                <w:highlight w:val="none"/>
              </w:rPr>
              <w:t>检测和试验设备</w:t>
            </w:r>
          </w:p>
        </w:tc>
        <w:tc>
          <w:tcPr>
            <w:tcW w:w="1590" w:type="dxa"/>
            <w:noWrap/>
          </w:tcPr>
          <w:p w14:paraId="76647ADF">
            <w:pPr>
              <w:snapToGrid w:val="0"/>
              <w:spacing w:line="360" w:lineRule="auto"/>
              <w:jc w:val="left"/>
              <w:rPr>
                <w:szCs w:val="21"/>
                <w:highlight w:val="none"/>
              </w:rPr>
            </w:pPr>
          </w:p>
        </w:tc>
        <w:tc>
          <w:tcPr>
            <w:tcW w:w="2130" w:type="dxa"/>
            <w:noWrap/>
          </w:tcPr>
          <w:p w14:paraId="07CAA5D7">
            <w:pPr>
              <w:snapToGrid w:val="0"/>
              <w:spacing w:line="360" w:lineRule="auto"/>
              <w:jc w:val="left"/>
              <w:rPr>
                <w:szCs w:val="21"/>
                <w:highlight w:val="none"/>
              </w:rPr>
            </w:pPr>
          </w:p>
        </w:tc>
        <w:tc>
          <w:tcPr>
            <w:tcW w:w="1860" w:type="dxa"/>
            <w:noWrap/>
          </w:tcPr>
          <w:p w14:paraId="0448E115">
            <w:pPr>
              <w:snapToGrid w:val="0"/>
              <w:spacing w:line="360" w:lineRule="auto"/>
              <w:jc w:val="left"/>
              <w:rPr>
                <w:szCs w:val="21"/>
                <w:highlight w:val="none"/>
              </w:rPr>
            </w:pPr>
          </w:p>
        </w:tc>
      </w:tr>
    </w:tbl>
    <w:p w14:paraId="528F904D">
      <w:pPr>
        <w:adjustRightInd w:val="0"/>
        <w:snapToGrid w:val="0"/>
        <w:spacing w:line="360" w:lineRule="auto"/>
        <w:ind w:firstLine="420" w:firstLineChars="200"/>
        <w:jc w:val="left"/>
        <w:rPr>
          <w:szCs w:val="21"/>
          <w:highlight w:val="none"/>
        </w:rPr>
      </w:pPr>
      <w:r>
        <w:rPr>
          <w:szCs w:val="21"/>
          <w:highlight w:val="none"/>
        </w:rPr>
        <w:t xml:space="preserve">3.3 </w:t>
      </w:r>
      <w:r>
        <w:rPr>
          <w:rFonts w:hint="eastAsia"/>
          <w:szCs w:val="21"/>
          <w:highlight w:val="none"/>
        </w:rPr>
        <w:t>委托人代表</w:t>
      </w:r>
    </w:p>
    <w:p w14:paraId="689FBEC0">
      <w:pPr>
        <w:adjustRightInd w:val="0"/>
        <w:snapToGrid w:val="0"/>
        <w:spacing w:line="360" w:lineRule="auto"/>
        <w:ind w:firstLine="420" w:firstLineChars="200"/>
        <w:jc w:val="left"/>
        <w:rPr>
          <w:szCs w:val="21"/>
          <w:highlight w:val="none"/>
        </w:rPr>
      </w:pPr>
      <w:r>
        <w:rPr>
          <w:rFonts w:hint="eastAsia"/>
          <w:szCs w:val="21"/>
          <w:highlight w:val="none"/>
        </w:rPr>
        <w:t>委托人代表为：。</w:t>
      </w:r>
    </w:p>
    <w:p w14:paraId="5365B15A">
      <w:pPr>
        <w:adjustRightInd w:val="0"/>
        <w:snapToGrid w:val="0"/>
        <w:spacing w:line="360" w:lineRule="auto"/>
        <w:ind w:firstLine="420" w:firstLineChars="200"/>
        <w:jc w:val="left"/>
        <w:rPr>
          <w:szCs w:val="21"/>
          <w:highlight w:val="none"/>
        </w:rPr>
      </w:pPr>
      <w:r>
        <w:rPr>
          <w:szCs w:val="21"/>
          <w:highlight w:val="none"/>
        </w:rPr>
        <w:t xml:space="preserve">3.5 </w:t>
      </w:r>
      <w:r>
        <w:rPr>
          <w:rFonts w:hint="eastAsia"/>
          <w:szCs w:val="21"/>
          <w:highlight w:val="none"/>
        </w:rPr>
        <w:t>审核与答复</w:t>
      </w:r>
    </w:p>
    <w:p w14:paraId="7F51AF38">
      <w:pPr>
        <w:adjustRightInd w:val="0"/>
        <w:snapToGrid w:val="0"/>
        <w:spacing w:line="360" w:lineRule="auto"/>
        <w:ind w:firstLine="420" w:firstLineChars="200"/>
        <w:jc w:val="left"/>
        <w:rPr>
          <w:szCs w:val="21"/>
          <w:highlight w:val="none"/>
        </w:rPr>
      </w:pPr>
      <w:r>
        <w:rPr>
          <w:rFonts w:hint="eastAsia"/>
          <w:szCs w:val="21"/>
          <w:highlight w:val="none"/>
        </w:rPr>
        <w:t>委托人同意在</w:t>
      </w:r>
      <w:r>
        <w:rPr>
          <w:szCs w:val="21"/>
          <w:highlight w:val="none"/>
          <w:u w:val="single"/>
        </w:rPr>
        <w:t>3</w:t>
      </w:r>
      <w:r>
        <w:rPr>
          <w:rFonts w:hint="eastAsia"/>
          <w:szCs w:val="21"/>
          <w:highlight w:val="none"/>
        </w:rPr>
        <w:t>天内，对受托人书面提交并要求做出决定的事宜给予书面答复。</w:t>
      </w:r>
    </w:p>
    <w:p w14:paraId="7BBBFC43">
      <w:pPr>
        <w:spacing w:line="360" w:lineRule="auto"/>
        <w:jc w:val="left"/>
        <w:rPr>
          <w:szCs w:val="21"/>
          <w:highlight w:val="none"/>
        </w:rPr>
      </w:pPr>
      <w:bookmarkStart w:id="307" w:name="_Toc532553134"/>
      <w:bookmarkStart w:id="308" w:name="_Toc531850354"/>
      <w:bookmarkStart w:id="309" w:name="_Toc532553060"/>
      <w:r>
        <w:rPr>
          <w:szCs w:val="21"/>
          <w:highlight w:val="none"/>
        </w:rPr>
        <w:t xml:space="preserve">5. </w:t>
      </w:r>
      <w:r>
        <w:rPr>
          <w:rFonts w:hint="eastAsia"/>
          <w:szCs w:val="21"/>
          <w:highlight w:val="none"/>
        </w:rPr>
        <w:t>违约责任</w:t>
      </w:r>
      <w:bookmarkEnd w:id="307"/>
      <w:bookmarkEnd w:id="308"/>
      <w:bookmarkEnd w:id="309"/>
    </w:p>
    <w:p w14:paraId="75C99F88">
      <w:pPr>
        <w:adjustRightInd w:val="0"/>
        <w:snapToGrid w:val="0"/>
        <w:spacing w:line="360" w:lineRule="auto"/>
        <w:ind w:firstLine="420" w:firstLineChars="200"/>
        <w:jc w:val="left"/>
        <w:rPr>
          <w:szCs w:val="21"/>
          <w:highlight w:val="none"/>
        </w:rPr>
      </w:pPr>
      <w:r>
        <w:rPr>
          <w:szCs w:val="21"/>
          <w:highlight w:val="none"/>
        </w:rPr>
        <w:t xml:space="preserve">5.1 </w:t>
      </w:r>
      <w:r>
        <w:rPr>
          <w:rFonts w:hint="eastAsia"/>
          <w:szCs w:val="21"/>
          <w:highlight w:val="none"/>
        </w:rPr>
        <w:t>受托人的违约责任</w:t>
      </w:r>
    </w:p>
    <w:p w14:paraId="52FA14B9">
      <w:pPr>
        <w:snapToGrid w:val="0"/>
        <w:spacing w:line="360" w:lineRule="auto"/>
        <w:ind w:firstLine="420" w:firstLineChars="200"/>
        <w:jc w:val="left"/>
        <w:rPr>
          <w:szCs w:val="21"/>
          <w:highlight w:val="none"/>
        </w:rPr>
      </w:pPr>
      <w:r>
        <w:rPr>
          <w:szCs w:val="21"/>
          <w:highlight w:val="none"/>
        </w:rPr>
        <w:t xml:space="preserve">5.1.1 </w:t>
      </w:r>
      <w:r>
        <w:rPr>
          <w:rFonts w:hint="eastAsia"/>
          <w:szCs w:val="21"/>
          <w:highlight w:val="none"/>
        </w:rPr>
        <w:t>除通用条款受托人的违约责任外，受托人不履行合同义务或不按约定履行义务的其他情况包括（但不限于）：</w:t>
      </w:r>
      <w:r>
        <w:rPr>
          <w:rFonts w:hint="eastAsia" w:ascii="宋体" w:hAnsi="宋体" w:cs="宋体"/>
          <w:kern w:val="0"/>
          <w:szCs w:val="21"/>
          <w:highlight w:val="none"/>
          <w:u w:val="single"/>
        </w:rPr>
        <w:t>详见各专业服务合同条款</w:t>
      </w:r>
      <w:r>
        <w:rPr>
          <w:rFonts w:hint="eastAsia"/>
          <w:szCs w:val="21"/>
          <w:highlight w:val="none"/>
        </w:rPr>
        <w:t>。</w:t>
      </w:r>
    </w:p>
    <w:p w14:paraId="5EF9E1D6">
      <w:pPr>
        <w:adjustRightInd w:val="0"/>
        <w:snapToGrid w:val="0"/>
        <w:spacing w:line="360" w:lineRule="auto"/>
        <w:ind w:firstLine="420" w:firstLineChars="200"/>
        <w:jc w:val="left"/>
        <w:rPr>
          <w:szCs w:val="21"/>
          <w:highlight w:val="none"/>
        </w:rPr>
      </w:pPr>
      <w:r>
        <w:rPr>
          <w:rFonts w:hint="eastAsia"/>
          <w:szCs w:val="21"/>
          <w:highlight w:val="none"/>
        </w:rPr>
        <w:t>受托人赔偿金额按下列方法确定：</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扣除履约保证金并承担相应的违约损失</w:t>
      </w:r>
    </w:p>
    <w:p w14:paraId="3359A669">
      <w:pPr>
        <w:adjustRightInd w:val="0"/>
        <w:snapToGrid w:val="0"/>
        <w:spacing w:line="360" w:lineRule="auto"/>
        <w:ind w:firstLine="420" w:firstLineChars="200"/>
        <w:jc w:val="left"/>
        <w:rPr>
          <w:szCs w:val="21"/>
          <w:highlight w:val="none"/>
        </w:rPr>
      </w:pPr>
      <w:r>
        <w:rPr>
          <w:szCs w:val="21"/>
          <w:highlight w:val="none"/>
        </w:rPr>
        <w:t xml:space="preserve">5.2 </w:t>
      </w:r>
      <w:r>
        <w:rPr>
          <w:rFonts w:hint="eastAsia"/>
          <w:szCs w:val="21"/>
          <w:highlight w:val="none"/>
        </w:rPr>
        <w:t>委托人的违约责任</w:t>
      </w:r>
    </w:p>
    <w:p w14:paraId="1151D18E">
      <w:pPr>
        <w:snapToGrid w:val="0"/>
        <w:spacing w:line="360" w:lineRule="auto"/>
        <w:ind w:firstLine="420" w:firstLineChars="200"/>
        <w:jc w:val="left"/>
        <w:rPr>
          <w:szCs w:val="21"/>
          <w:highlight w:val="none"/>
        </w:rPr>
      </w:pPr>
      <w:r>
        <w:rPr>
          <w:rFonts w:hint="eastAsia"/>
          <w:szCs w:val="21"/>
          <w:highlight w:val="none"/>
        </w:rPr>
        <w:t>委托人逾期付款利息按下列方法确定：</w:t>
      </w:r>
    </w:p>
    <w:p w14:paraId="0AE0EC09">
      <w:pPr>
        <w:snapToGrid w:val="0"/>
        <w:spacing w:line="360" w:lineRule="auto"/>
        <w:ind w:firstLine="420" w:firstLineChars="200"/>
        <w:jc w:val="left"/>
        <w:rPr>
          <w:szCs w:val="21"/>
          <w:highlight w:val="none"/>
        </w:rPr>
      </w:pPr>
      <w:r>
        <w:rPr>
          <w:rFonts w:hint="eastAsia"/>
          <w:szCs w:val="21"/>
          <w:highlight w:val="none"/>
        </w:rPr>
        <w:t>逾期付款利息＝当期应付款总额×银行同期贷款利率×拖延支付天数</w:t>
      </w:r>
    </w:p>
    <w:p w14:paraId="71CBD8A1">
      <w:pPr>
        <w:snapToGrid w:val="0"/>
        <w:spacing w:line="360" w:lineRule="auto"/>
        <w:ind w:firstLine="420" w:firstLineChars="200"/>
        <w:jc w:val="left"/>
        <w:rPr>
          <w:szCs w:val="21"/>
          <w:highlight w:val="none"/>
        </w:rPr>
      </w:pPr>
      <w:r>
        <w:rPr>
          <w:rFonts w:hint="eastAsia"/>
          <w:szCs w:val="21"/>
          <w:highlight w:val="none"/>
        </w:rPr>
        <w:t>银行同期贷款利率按中国人民银行公布的同期银行贷款基准利率执行。</w:t>
      </w:r>
    </w:p>
    <w:p w14:paraId="34427DA4">
      <w:pPr>
        <w:spacing w:line="360" w:lineRule="auto"/>
        <w:jc w:val="left"/>
        <w:rPr>
          <w:szCs w:val="21"/>
          <w:highlight w:val="none"/>
        </w:rPr>
      </w:pPr>
      <w:bookmarkStart w:id="310" w:name="_Toc532553135"/>
      <w:bookmarkStart w:id="311" w:name="_Toc532553061"/>
      <w:bookmarkStart w:id="312" w:name="_Toc531850355"/>
      <w:r>
        <w:rPr>
          <w:szCs w:val="21"/>
          <w:highlight w:val="none"/>
        </w:rPr>
        <w:t xml:space="preserve">6. </w:t>
      </w:r>
      <w:r>
        <w:rPr>
          <w:rFonts w:hint="eastAsia"/>
          <w:szCs w:val="21"/>
          <w:highlight w:val="none"/>
        </w:rPr>
        <w:t>支付</w:t>
      </w:r>
      <w:bookmarkEnd w:id="310"/>
      <w:bookmarkEnd w:id="311"/>
      <w:bookmarkEnd w:id="312"/>
    </w:p>
    <w:p w14:paraId="75DADECE">
      <w:pPr>
        <w:adjustRightInd w:val="0"/>
        <w:snapToGrid w:val="0"/>
        <w:spacing w:line="360" w:lineRule="auto"/>
        <w:ind w:firstLine="420" w:firstLineChars="200"/>
        <w:jc w:val="left"/>
        <w:rPr>
          <w:szCs w:val="21"/>
          <w:highlight w:val="none"/>
        </w:rPr>
      </w:pPr>
      <w:r>
        <w:rPr>
          <w:szCs w:val="21"/>
          <w:highlight w:val="none"/>
        </w:rPr>
        <w:t xml:space="preserve">6.1 </w:t>
      </w:r>
      <w:r>
        <w:rPr>
          <w:rFonts w:hint="eastAsia"/>
          <w:szCs w:val="21"/>
          <w:highlight w:val="none"/>
        </w:rPr>
        <w:t>支付货币</w:t>
      </w:r>
    </w:p>
    <w:p w14:paraId="68A28A0E">
      <w:pPr>
        <w:snapToGrid w:val="0"/>
        <w:spacing w:line="360" w:lineRule="auto"/>
        <w:ind w:firstLine="420" w:firstLineChars="200"/>
        <w:jc w:val="left"/>
        <w:rPr>
          <w:szCs w:val="21"/>
          <w:highlight w:val="none"/>
        </w:rPr>
      </w:pPr>
      <w:r>
        <w:rPr>
          <w:rFonts w:hint="eastAsia"/>
          <w:szCs w:val="21"/>
          <w:highlight w:val="none"/>
        </w:rPr>
        <w:t>币种为：</w:t>
      </w:r>
      <w:r>
        <w:rPr>
          <w:rFonts w:hint="eastAsia"/>
          <w:szCs w:val="21"/>
          <w:highlight w:val="none"/>
          <w:u w:val="single"/>
        </w:rPr>
        <w:t>人民币</w:t>
      </w:r>
      <w:r>
        <w:rPr>
          <w:rFonts w:hint="eastAsia"/>
          <w:szCs w:val="21"/>
          <w:highlight w:val="none"/>
        </w:rPr>
        <w:t>，比例为：</w:t>
      </w:r>
      <w:r>
        <w:rPr>
          <w:rFonts w:hint="eastAsia"/>
          <w:szCs w:val="21"/>
          <w:highlight w:val="none"/>
          <w:u w:val="single"/>
        </w:rPr>
        <w:t>/</w:t>
      </w:r>
      <w:r>
        <w:rPr>
          <w:rFonts w:hint="eastAsia"/>
          <w:szCs w:val="21"/>
          <w:highlight w:val="none"/>
        </w:rPr>
        <w:t>，汇率为：</w:t>
      </w:r>
      <w:r>
        <w:rPr>
          <w:szCs w:val="21"/>
          <w:highlight w:val="none"/>
          <w:u w:val="single"/>
        </w:rPr>
        <w:t>/</w:t>
      </w:r>
      <w:r>
        <w:rPr>
          <w:rFonts w:hint="eastAsia"/>
          <w:szCs w:val="21"/>
          <w:highlight w:val="none"/>
        </w:rPr>
        <w:t>。</w:t>
      </w:r>
    </w:p>
    <w:p w14:paraId="3E9739CA">
      <w:pPr>
        <w:snapToGrid w:val="0"/>
        <w:spacing w:line="360" w:lineRule="auto"/>
        <w:ind w:firstLine="210" w:firstLineChars="100"/>
        <w:jc w:val="left"/>
        <w:rPr>
          <w:rFonts w:ascii="宋体" w:cs="宋体"/>
          <w:kern w:val="0"/>
          <w:szCs w:val="21"/>
          <w:highlight w:val="none"/>
        </w:rPr>
      </w:pPr>
      <w:r>
        <w:rPr>
          <w:rFonts w:ascii="宋体" w:hAnsi="宋体" w:cs="宋体"/>
          <w:kern w:val="0"/>
          <w:szCs w:val="21"/>
          <w:highlight w:val="none"/>
        </w:rPr>
        <w:t xml:space="preserve">6.2 </w:t>
      </w:r>
      <w:r>
        <w:rPr>
          <w:rFonts w:hint="eastAsia" w:ascii="宋体" w:hAnsi="宋体" w:cs="宋体"/>
          <w:kern w:val="0"/>
          <w:szCs w:val="21"/>
          <w:highlight w:val="none"/>
        </w:rPr>
        <w:t>支付酬金</w:t>
      </w:r>
    </w:p>
    <w:p w14:paraId="4A90DA24">
      <w:pPr>
        <w:snapToGrid w:val="0"/>
        <w:spacing w:line="360" w:lineRule="auto"/>
        <w:ind w:firstLine="210" w:firstLineChars="100"/>
        <w:jc w:val="left"/>
        <w:rPr>
          <w:rFonts w:ascii="宋体" w:cs="宋体"/>
          <w:kern w:val="0"/>
          <w:szCs w:val="21"/>
          <w:highlight w:val="none"/>
        </w:rPr>
      </w:pPr>
      <w:r>
        <w:rPr>
          <w:rFonts w:hint="eastAsia" w:ascii="宋体" w:hAnsi="宋体" w:cs="宋体"/>
          <w:kern w:val="0"/>
          <w:szCs w:val="21"/>
          <w:highlight w:val="none"/>
        </w:rPr>
        <w:t>□正常工作</w:t>
      </w:r>
      <w:r>
        <w:rPr>
          <w:rFonts w:hint="eastAsia" w:ascii="宋体" w:hAnsi="宋体" w:cs="宋体"/>
          <w:szCs w:val="21"/>
          <w:highlight w:val="none"/>
        </w:rPr>
        <w:t>酬金的</w:t>
      </w:r>
      <w:r>
        <w:rPr>
          <w:rFonts w:hint="eastAsia" w:ascii="宋体" w:hAnsi="宋体" w:cs="宋体"/>
          <w:kern w:val="0"/>
          <w:szCs w:val="21"/>
          <w:highlight w:val="none"/>
        </w:rPr>
        <w:t>支付</w:t>
      </w:r>
      <w:r>
        <w:rPr>
          <w:rFonts w:hint="eastAsia" w:ascii="宋体" w:hAnsi="宋体" w:cs="宋体"/>
          <w:szCs w:val="21"/>
          <w:highlight w:val="none"/>
        </w:rPr>
        <w:t>：</w:t>
      </w:r>
    </w:p>
    <w:tbl>
      <w:tblPr>
        <w:tblStyle w:val="34"/>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496A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497AEFFD">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vAlign w:val="top"/>
          </w:tcPr>
          <w:p w14:paraId="0C55A8BC">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vAlign w:val="top"/>
          </w:tcPr>
          <w:p w14:paraId="4D36F662">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vAlign w:val="top"/>
          </w:tcPr>
          <w:p w14:paraId="5096EF62">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66E8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10A58A03">
            <w:pPr>
              <w:snapToGrid w:val="0"/>
              <w:spacing w:line="360" w:lineRule="auto"/>
              <w:jc w:val="left"/>
              <w:rPr>
                <w:rFonts w:ascii="宋体"/>
                <w:szCs w:val="21"/>
                <w:highlight w:val="none"/>
              </w:rPr>
            </w:pPr>
          </w:p>
        </w:tc>
        <w:tc>
          <w:tcPr>
            <w:tcW w:w="2127" w:type="dxa"/>
            <w:vAlign w:val="top"/>
          </w:tcPr>
          <w:p w14:paraId="39AC3E4D">
            <w:pPr>
              <w:snapToGrid w:val="0"/>
              <w:spacing w:line="360" w:lineRule="auto"/>
              <w:jc w:val="left"/>
              <w:rPr>
                <w:rFonts w:ascii="宋体"/>
                <w:szCs w:val="21"/>
                <w:highlight w:val="none"/>
              </w:rPr>
            </w:pPr>
          </w:p>
        </w:tc>
        <w:tc>
          <w:tcPr>
            <w:tcW w:w="1559" w:type="dxa"/>
            <w:vAlign w:val="top"/>
          </w:tcPr>
          <w:p w14:paraId="1FDEE611">
            <w:pPr>
              <w:snapToGrid w:val="0"/>
              <w:spacing w:line="360" w:lineRule="auto"/>
              <w:jc w:val="left"/>
              <w:rPr>
                <w:rFonts w:ascii="宋体"/>
                <w:szCs w:val="21"/>
                <w:highlight w:val="none"/>
              </w:rPr>
            </w:pPr>
          </w:p>
        </w:tc>
        <w:tc>
          <w:tcPr>
            <w:tcW w:w="2835" w:type="dxa"/>
            <w:vAlign w:val="top"/>
          </w:tcPr>
          <w:p w14:paraId="452CE8B3">
            <w:pPr>
              <w:snapToGrid w:val="0"/>
              <w:spacing w:line="360" w:lineRule="auto"/>
              <w:jc w:val="left"/>
              <w:rPr>
                <w:rFonts w:ascii="宋体"/>
                <w:szCs w:val="21"/>
                <w:highlight w:val="none"/>
              </w:rPr>
            </w:pPr>
          </w:p>
        </w:tc>
      </w:tr>
      <w:tr w14:paraId="3E97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6DBAA286">
            <w:pPr>
              <w:snapToGrid w:val="0"/>
              <w:spacing w:line="360" w:lineRule="auto"/>
              <w:jc w:val="left"/>
              <w:rPr>
                <w:rFonts w:ascii="宋体"/>
                <w:szCs w:val="21"/>
                <w:highlight w:val="none"/>
              </w:rPr>
            </w:pPr>
          </w:p>
        </w:tc>
        <w:tc>
          <w:tcPr>
            <w:tcW w:w="2127" w:type="dxa"/>
            <w:vAlign w:val="top"/>
          </w:tcPr>
          <w:p w14:paraId="2BF9D110">
            <w:pPr>
              <w:snapToGrid w:val="0"/>
              <w:spacing w:line="360" w:lineRule="auto"/>
              <w:ind w:firstLine="315" w:firstLineChars="150"/>
              <w:jc w:val="left"/>
              <w:rPr>
                <w:rFonts w:ascii="宋体"/>
                <w:szCs w:val="21"/>
                <w:highlight w:val="none"/>
              </w:rPr>
            </w:pPr>
          </w:p>
        </w:tc>
        <w:tc>
          <w:tcPr>
            <w:tcW w:w="1559" w:type="dxa"/>
            <w:vAlign w:val="top"/>
          </w:tcPr>
          <w:p w14:paraId="29D61952">
            <w:pPr>
              <w:snapToGrid w:val="0"/>
              <w:spacing w:line="360" w:lineRule="auto"/>
              <w:jc w:val="left"/>
              <w:rPr>
                <w:rFonts w:ascii="宋体"/>
                <w:szCs w:val="21"/>
                <w:highlight w:val="none"/>
              </w:rPr>
            </w:pPr>
          </w:p>
        </w:tc>
        <w:tc>
          <w:tcPr>
            <w:tcW w:w="2835" w:type="dxa"/>
            <w:vAlign w:val="top"/>
          </w:tcPr>
          <w:p w14:paraId="159635B5">
            <w:pPr>
              <w:snapToGrid w:val="0"/>
              <w:spacing w:line="360" w:lineRule="auto"/>
              <w:ind w:firstLine="735" w:firstLineChars="350"/>
              <w:jc w:val="left"/>
              <w:rPr>
                <w:rFonts w:ascii="宋体"/>
                <w:szCs w:val="21"/>
                <w:highlight w:val="none"/>
              </w:rPr>
            </w:pPr>
          </w:p>
        </w:tc>
      </w:tr>
      <w:tr w14:paraId="4CFD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48FABE8C">
            <w:pPr>
              <w:snapToGrid w:val="0"/>
              <w:spacing w:line="360" w:lineRule="auto"/>
              <w:jc w:val="left"/>
              <w:rPr>
                <w:rFonts w:ascii="宋体"/>
                <w:szCs w:val="21"/>
                <w:highlight w:val="none"/>
              </w:rPr>
            </w:pPr>
          </w:p>
        </w:tc>
        <w:tc>
          <w:tcPr>
            <w:tcW w:w="2127" w:type="dxa"/>
            <w:vAlign w:val="top"/>
          </w:tcPr>
          <w:p w14:paraId="566CE6D6">
            <w:pPr>
              <w:snapToGrid w:val="0"/>
              <w:spacing w:line="360" w:lineRule="auto"/>
              <w:ind w:firstLine="315" w:firstLineChars="150"/>
              <w:jc w:val="left"/>
              <w:rPr>
                <w:rFonts w:ascii="宋体"/>
                <w:szCs w:val="21"/>
                <w:highlight w:val="none"/>
              </w:rPr>
            </w:pPr>
          </w:p>
        </w:tc>
        <w:tc>
          <w:tcPr>
            <w:tcW w:w="1559" w:type="dxa"/>
            <w:vAlign w:val="top"/>
          </w:tcPr>
          <w:p w14:paraId="2AE081C0">
            <w:pPr>
              <w:snapToGrid w:val="0"/>
              <w:spacing w:line="360" w:lineRule="auto"/>
              <w:jc w:val="left"/>
              <w:rPr>
                <w:rFonts w:ascii="宋体"/>
                <w:szCs w:val="21"/>
                <w:highlight w:val="none"/>
              </w:rPr>
            </w:pPr>
          </w:p>
        </w:tc>
        <w:tc>
          <w:tcPr>
            <w:tcW w:w="2835" w:type="dxa"/>
            <w:vAlign w:val="top"/>
          </w:tcPr>
          <w:p w14:paraId="01DE6CB5">
            <w:pPr>
              <w:snapToGrid w:val="0"/>
              <w:spacing w:line="360" w:lineRule="auto"/>
              <w:jc w:val="left"/>
              <w:rPr>
                <w:rFonts w:ascii="宋体"/>
                <w:szCs w:val="21"/>
                <w:highlight w:val="none"/>
              </w:rPr>
            </w:pPr>
          </w:p>
        </w:tc>
      </w:tr>
    </w:tbl>
    <w:p w14:paraId="24D9299E">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sym w:font="Wingdings 2" w:char="0052"/>
      </w:r>
      <w:r>
        <w:rPr>
          <w:rFonts w:hint="eastAsia" w:ascii="宋体" w:hAnsi="宋体" w:cs="宋体"/>
          <w:szCs w:val="21"/>
          <w:highlight w:val="none"/>
        </w:rPr>
        <w:t>委托人按技术要求中约定的支付次数、支付时间、支付比例和支付金额向受托人支付</w:t>
      </w:r>
    </w:p>
    <w:p w14:paraId="3A1E4E91">
      <w:pPr>
        <w:adjustRightInd w:val="0"/>
        <w:snapToGrid w:val="0"/>
        <w:spacing w:line="360" w:lineRule="auto"/>
        <w:ind w:firstLine="420" w:firstLineChars="200"/>
        <w:jc w:val="left"/>
        <w:rPr>
          <w:rFonts w:hint="eastAsia" w:ascii="宋体" w:hAnsi="宋体" w:cs="宋体"/>
          <w:szCs w:val="21"/>
          <w:highlight w:val="none"/>
        </w:rPr>
      </w:pPr>
      <w:bookmarkStart w:id="313" w:name="_Toc478380041"/>
      <w:bookmarkStart w:id="314" w:name="_Toc478373437"/>
      <w:bookmarkStart w:id="315" w:name="_Toc509302676"/>
      <w:bookmarkStart w:id="316" w:name="_Toc527955019"/>
      <w:r>
        <w:rPr>
          <w:rFonts w:hint="eastAsia" w:ascii="宋体" w:hAnsi="宋体" w:cs="宋体"/>
          <w:szCs w:val="21"/>
          <w:highlight w:val="none"/>
        </w:rPr>
        <w:t>（1）工程造价咨询服务费：跟踪审计费每半年支付一次，支付比例为50%，工程竣工验收合格后，支付至80%；工程造价结算审核结束后支付至90%；余款在综合验收及工程决算审核结束后一个月内付清。结算审计费待工程造价结算审核结束后支付至90%；余款在综合验收及工程决算审核结束后一个月内付清。</w:t>
      </w:r>
    </w:p>
    <w:p w14:paraId="37B8E50C">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（2）监理费：每2个月支付根据工程形象进度按合同约定的方式计算的服务费的60%；工程竣工验收合格后，支付至合同价的80%；余款在项目综合验收及工程结算审定后一个月内付清。</w:t>
      </w:r>
    </w:p>
    <w:p w14:paraId="4B37C511">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（3）项目管理服务费（以甲方实际指令为准）：工程竣工验收合格后，当年年底一次性付清。</w:t>
      </w:r>
    </w:p>
    <w:p w14:paraId="358FF07F">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（4）最终结算价格与考核挂钩。</w:t>
      </w:r>
    </w:p>
    <w:p w14:paraId="6E0A1160">
      <w:pPr>
        <w:spacing w:line="360" w:lineRule="auto"/>
        <w:jc w:val="left"/>
        <w:outlineLvl w:val="2"/>
        <w:rPr>
          <w:rFonts w:ascii="宋体" w:cs="宋体"/>
          <w:b/>
          <w:szCs w:val="21"/>
          <w:highlight w:val="none"/>
        </w:rPr>
      </w:pPr>
      <w:r>
        <w:rPr>
          <w:rFonts w:ascii="宋体" w:hAnsi="宋体" w:cs="宋体"/>
          <w:b/>
          <w:szCs w:val="21"/>
          <w:highlight w:val="none"/>
        </w:rPr>
        <w:t xml:space="preserve">7. </w:t>
      </w:r>
      <w:r>
        <w:rPr>
          <w:rFonts w:hint="eastAsia" w:ascii="宋体" w:hAnsi="宋体" w:cs="宋体"/>
          <w:b/>
          <w:szCs w:val="21"/>
          <w:highlight w:val="none"/>
        </w:rPr>
        <w:t>合同生效、变更、暂停、解除与终止</w:t>
      </w:r>
      <w:bookmarkEnd w:id="313"/>
      <w:bookmarkEnd w:id="314"/>
      <w:bookmarkEnd w:id="315"/>
      <w:bookmarkEnd w:id="316"/>
    </w:p>
    <w:p w14:paraId="13497688">
      <w:pPr>
        <w:adjustRightInd w:val="0"/>
        <w:snapToGrid w:val="0"/>
        <w:spacing w:line="360" w:lineRule="auto"/>
        <w:ind w:firstLine="210" w:firstLineChars="100"/>
        <w:jc w:val="left"/>
        <w:rPr>
          <w:rFonts w:ascii="宋体" w:cs="宋体"/>
          <w:szCs w:val="21"/>
          <w:highlight w:val="none"/>
        </w:rPr>
      </w:pPr>
      <w:r>
        <w:rPr>
          <w:rFonts w:ascii="宋体" w:hAnsi="宋体" w:cs="宋体"/>
          <w:szCs w:val="21"/>
          <w:highlight w:val="none"/>
        </w:rPr>
        <w:t xml:space="preserve">7.1 </w:t>
      </w:r>
      <w:r>
        <w:rPr>
          <w:rFonts w:hint="eastAsia" w:ascii="宋体" w:hAnsi="宋体" w:cs="宋体"/>
          <w:szCs w:val="21"/>
          <w:highlight w:val="none"/>
        </w:rPr>
        <w:t>生效</w:t>
      </w:r>
    </w:p>
    <w:p w14:paraId="0454ED31">
      <w:pPr>
        <w:adjustRightInd w:val="0"/>
        <w:snapToGrid w:val="0"/>
        <w:spacing w:line="360" w:lineRule="auto"/>
        <w:jc w:val="left"/>
        <w:rPr>
          <w:rFonts w:ascii="宋体" w:cs="宋体"/>
          <w:szCs w:val="21"/>
          <w:highlight w:val="none"/>
        </w:rPr>
      </w:pPr>
      <w:r>
        <w:rPr>
          <w:rFonts w:hint="eastAsia" w:ascii="宋体" w:hAnsi="宋体" w:cs="宋体"/>
          <w:szCs w:val="21"/>
          <w:highlight w:val="none"/>
        </w:rPr>
        <w:t>本合同生效条件：</w:t>
      </w:r>
      <w:r>
        <w:rPr>
          <w:rFonts w:ascii="宋体" w:hAnsi="宋体" w:cs="宋体"/>
          <w:szCs w:val="21"/>
          <w:highlight w:val="none"/>
          <w:u w:val="single"/>
        </w:rPr>
        <w:t xml:space="preserve">   </w:t>
      </w:r>
      <w:r>
        <w:rPr>
          <w:rFonts w:hint="eastAsia" w:ascii="宋体" w:hAnsi="宋体" w:cs="宋体"/>
          <w:kern w:val="0"/>
          <w:szCs w:val="21"/>
          <w:highlight w:val="none"/>
          <w:u w:val="single"/>
        </w:rPr>
        <w:t>各方签字盖章后生效</w:t>
      </w:r>
      <w:r>
        <w:rPr>
          <w:rFonts w:ascii="宋体" w:hAnsi="宋体" w:cs="宋体"/>
          <w:szCs w:val="21"/>
          <w:highlight w:val="none"/>
          <w:u w:val="single"/>
        </w:rPr>
        <w:t xml:space="preserve">              </w:t>
      </w:r>
      <w:r>
        <w:rPr>
          <w:rFonts w:hint="eastAsia" w:ascii="宋体" w:hAnsi="宋体" w:cs="宋体"/>
          <w:szCs w:val="21"/>
          <w:highlight w:val="none"/>
        </w:rPr>
        <w:t>。</w:t>
      </w:r>
    </w:p>
    <w:p w14:paraId="491C239A">
      <w:pPr>
        <w:adjustRightInd w:val="0"/>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7.2 </w:t>
      </w:r>
      <w:r>
        <w:rPr>
          <w:rFonts w:hint="eastAsia" w:ascii="宋体" w:hAnsi="宋体" w:cs="宋体"/>
          <w:szCs w:val="21"/>
          <w:highlight w:val="none"/>
        </w:rPr>
        <w:t>变更</w:t>
      </w:r>
    </w:p>
    <w:p w14:paraId="578EAAA1">
      <w:pPr>
        <w:snapToGrid w:val="0"/>
        <w:spacing w:line="360" w:lineRule="auto"/>
        <w:ind w:firstLine="420" w:firstLineChars="200"/>
        <w:jc w:val="left"/>
        <w:rPr>
          <w:rFonts w:hint="eastAsia" w:ascii="宋体" w:hAnsi="宋体" w:cs="宋体"/>
          <w:szCs w:val="21"/>
          <w:highlight w:val="none"/>
        </w:rPr>
      </w:pPr>
      <w:bookmarkStart w:id="317" w:name="_Toc509302677"/>
      <w:bookmarkStart w:id="318" w:name="_Toc478373438"/>
      <w:bookmarkStart w:id="319" w:name="_Toc478380042"/>
      <w:bookmarkStart w:id="320" w:name="_Toc527955020"/>
      <w:r>
        <w:rPr>
          <w:rFonts w:ascii="宋体" w:hAnsi="宋体" w:cs="宋体"/>
          <w:szCs w:val="21"/>
          <w:highlight w:val="none"/>
        </w:rPr>
        <w:t>7.2.</w:t>
      </w:r>
      <w:r>
        <w:rPr>
          <w:rFonts w:hint="eastAsia" w:ascii="宋体" w:hAnsi="宋体" w:cs="宋体"/>
          <w:szCs w:val="21"/>
          <w:highlight w:val="none"/>
        </w:rPr>
        <w:t>2</w:t>
      </w:r>
      <w:r>
        <w:rPr>
          <w:rFonts w:ascii="宋体" w:hAnsi="宋体" w:cs="宋体"/>
          <w:szCs w:val="21"/>
          <w:highlight w:val="none"/>
        </w:rPr>
        <w:t xml:space="preserve"> </w:t>
      </w:r>
      <w:r>
        <w:rPr>
          <w:rFonts w:hint="eastAsia" w:ascii="宋体" w:hAnsi="宋体" w:cs="宋体"/>
          <w:szCs w:val="21"/>
          <w:highlight w:val="none"/>
        </w:rPr>
        <w:t>除不可抗力外，</w:t>
      </w:r>
      <w:r>
        <w:rPr>
          <w:rFonts w:ascii="宋体" w:hAnsi="宋体" w:cs="宋体"/>
          <w:szCs w:val="21"/>
          <w:highlight w:val="none"/>
        </w:rPr>
        <w:t xml:space="preserve"> </w:t>
      </w:r>
      <w:r>
        <w:rPr>
          <w:rFonts w:hint="eastAsia" w:ascii="宋体" w:hAnsi="宋体" w:cs="宋体"/>
          <w:szCs w:val="21"/>
          <w:highlight w:val="none"/>
        </w:rPr>
        <w:t>因非受托人原因导致本合同期限延长时，附加工作酬金按下列方法确定：</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双方另行协商</w:t>
      </w:r>
    </w:p>
    <w:p w14:paraId="1734BA9B">
      <w:pPr>
        <w:snapToGrid w:val="0"/>
        <w:spacing w:line="360" w:lineRule="auto"/>
        <w:ind w:firstLine="420" w:firstLineChars="200"/>
        <w:jc w:val="left"/>
        <w:rPr>
          <w:rFonts w:hint="eastAsia" w:ascii="宋体" w:hAnsi="宋体" w:cs="宋体"/>
          <w:szCs w:val="21"/>
          <w:highlight w:val="none"/>
        </w:rPr>
      </w:pPr>
      <w:r>
        <w:rPr>
          <w:rFonts w:ascii="宋体" w:hAnsi="宋体" w:cs="宋体"/>
          <w:szCs w:val="21"/>
          <w:highlight w:val="none"/>
        </w:rPr>
        <w:t>7.2.</w:t>
      </w:r>
      <w:r>
        <w:rPr>
          <w:rFonts w:hint="eastAsia" w:ascii="宋体" w:hAnsi="宋体" w:cs="宋体"/>
          <w:szCs w:val="21"/>
          <w:highlight w:val="none"/>
        </w:rPr>
        <w:t>3</w:t>
      </w:r>
      <w:r>
        <w:rPr>
          <w:rFonts w:ascii="宋体" w:hAnsi="宋体" w:cs="宋体"/>
          <w:szCs w:val="21"/>
          <w:highlight w:val="none"/>
        </w:rPr>
        <w:t xml:space="preserve"> </w:t>
      </w:r>
      <w:r>
        <w:rPr>
          <w:rFonts w:hint="eastAsia" w:ascii="宋体" w:hAnsi="宋体" w:cs="宋体"/>
          <w:szCs w:val="21"/>
          <w:highlight w:val="none"/>
        </w:rPr>
        <w:t>除不可抗力外，实际情况发生变化使得受托人不能完成全部或部分工作时，其善后工作以及恢复服务的准备工作相应的附加工作酬金确定方法：</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另行协商</w:t>
      </w:r>
    </w:p>
    <w:p w14:paraId="5CE79729">
      <w:pPr>
        <w:snapToGrid w:val="0"/>
        <w:spacing w:line="360" w:lineRule="auto"/>
        <w:ind w:firstLine="420" w:firstLineChars="200"/>
        <w:jc w:val="left"/>
        <w:rPr>
          <w:rFonts w:hint="eastAsia" w:ascii="宋体" w:hAnsi="宋体" w:cs="宋体"/>
          <w:szCs w:val="21"/>
          <w:highlight w:val="none"/>
        </w:rPr>
      </w:pPr>
      <w:r>
        <w:rPr>
          <w:rFonts w:ascii="宋体" w:hAnsi="宋体" w:cs="宋体"/>
          <w:szCs w:val="21"/>
          <w:highlight w:val="none"/>
        </w:rPr>
        <w:t>7.2.</w:t>
      </w:r>
      <w:r>
        <w:rPr>
          <w:rFonts w:hint="eastAsia" w:ascii="宋体" w:hAnsi="宋体" w:cs="宋体"/>
          <w:szCs w:val="21"/>
          <w:highlight w:val="none"/>
        </w:rPr>
        <w:t>5</w:t>
      </w:r>
      <w:r>
        <w:rPr>
          <w:rFonts w:ascii="宋体" w:hAnsi="宋体" w:cs="宋体"/>
          <w:szCs w:val="21"/>
          <w:highlight w:val="none"/>
        </w:rPr>
        <w:t xml:space="preserve"> </w:t>
      </w:r>
      <w:r>
        <w:rPr>
          <w:rFonts w:hint="eastAsia" w:ascii="宋体" w:hAnsi="宋体" w:cs="宋体"/>
          <w:szCs w:val="21"/>
          <w:highlight w:val="none"/>
        </w:rPr>
        <w:t>正常工作酬金增加额按下列方法确定：</w:t>
      </w:r>
    </w:p>
    <w:p w14:paraId="3B9EEB58">
      <w:pPr>
        <w:adjustRightInd w:val="0"/>
        <w:snapToGrid w:val="0"/>
        <w:spacing w:line="36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工程规模变更的，根据实际工程概算投资额或建筑安装工程费增减金额，按分项取费率计算各分项咨询费用的增减额</w:t>
      </w:r>
    </w:p>
    <w:p w14:paraId="5AB75493">
      <w:pPr>
        <w:snapToGrid w:val="0"/>
        <w:spacing w:line="360" w:lineRule="auto"/>
        <w:ind w:firstLine="420" w:firstLineChars="200"/>
        <w:jc w:val="left"/>
        <w:rPr>
          <w:rFonts w:ascii="宋体" w:cs="宋体"/>
          <w:b/>
          <w:szCs w:val="21"/>
          <w:highlight w:val="none"/>
        </w:rPr>
      </w:pPr>
      <w:r>
        <w:rPr>
          <w:rFonts w:ascii="宋体" w:hAnsi="宋体" w:cs="宋体"/>
          <w:szCs w:val="21"/>
          <w:highlight w:val="none"/>
        </w:rPr>
        <w:t>7.2.</w:t>
      </w:r>
      <w:r>
        <w:rPr>
          <w:rFonts w:hint="eastAsia" w:ascii="宋体" w:hAnsi="宋体" w:cs="宋体"/>
          <w:szCs w:val="21"/>
          <w:highlight w:val="none"/>
        </w:rPr>
        <w:t>6</w:t>
      </w:r>
      <w:r>
        <w:rPr>
          <w:rFonts w:ascii="宋体" w:hAnsi="宋体" w:cs="宋体"/>
          <w:szCs w:val="21"/>
          <w:highlight w:val="none"/>
        </w:rPr>
        <w:t xml:space="preserve"> </w:t>
      </w:r>
      <w:r>
        <w:rPr>
          <w:rFonts w:hint="eastAsia" w:ascii="宋体" w:hAnsi="宋体" w:cs="宋体"/>
          <w:szCs w:val="21"/>
          <w:highlight w:val="none"/>
        </w:rPr>
        <w:t>因工程规模、全过程工程咨询范围的变化导致受托人的正常工作量减少时，</w:t>
      </w:r>
      <w:r>
        <w:rPr>
          <w:rFonts w:hint="eastAsia" w:ascii="宋体" w:hAnsi="宋体" w:cs="宋体"/>
          <w:kern w:val="0"/>
          <w:szCs w:val="21"/>
          <w:highlight w:val="none"/>
          <w:u w:val="single"/>
        </w:rPr>
        <w:t>按实际结算</w:t>
      </w:r>
      <w:r>
        <w:rPr>
          <w:rFonts w:ascii="宋体" w:hAnsi="宋体" w:cs="宋体"/>
          <w:kern w:val="0"/>
          <w:szCs w:val="21"/>
          <w:highlight w:val="none"/>
          <w:u w:val="single"/>
        </w:rPr>
        <w:t xml:space="preserve">  </w:t>
      </w:r>
      <w:r>
        <w:rPr>
          <w:rFonts w:hint="eastAsia" w:hAnsi="宋体" w:cs="宋体"/>
          <w:szCs w:val="21"/>
          <w:highlight w:val="none"/>
        </w:rPr>
        <w:t>。</w:t>
      </w:r>
    </w:p>
    <w:p w14:paraId="463481CA">
      <w:pPr>
        <w:spacing w:line="360" w:lineRule="auto"/>
        <w:jc w:val="left"/>
        <w:outlineLvl w:val="2"/>
        <w:rPr>
          <w:rFonts w:ascii="宋体" w:cs="宋体"/>
          <w:b/>
          <w:szCs w:val="21"/>
          <w:highlight w:val="none"/>
        </w:rPr>
      </w:pPr>
      <w:r>
        <w:rPr>
          <w:rFonts w:ascii="宋体" w:hAnsi="宋体" w:cs="宋体"/>
          <w:b/>
          <w:szCs w:val="21"/>
          <w:highlight w:val="none"/>
        </w:rPr>
        <w:t xml:space="preserve">8. </w:t>
      </w:r>
      <w:r>
        <w:rPr>
          <w:rFonts w:hint="eastAsia" w:ascii="宋体" w:hAnsi="宋体" w:cs="宋体"/>
          <w:b/>
          <w:szCs w:val="21"/>
          <w:highlight w:val="none"/>
        </w:rPr>
        <w:t>争议解决</w:t>
      </w:r>
      <w:bookmarkEnd w:id="317"/>
      <w:bookmarkEnd w:id="318"/>
      <w:bookmarkEnd w:id="319"/>
      <w:bookmarkEnd w:id="320"/>
    </w:p>
    <w:p w14:paraId="6763FBEC">
      <w:pPr>
        <w:snapToGrid w:val="0"/>
        <w:spacing w:line="360" w:lineRule="auto"/>
        <w:ind w:firstLine="205" w:firstLineChars="98"/>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2</w:t>
      </w:r>
      <w:r>
        <w:rPr>
          <w:rFonts w:ascii="宋体" w:hAnsi="宋体" w:cs="宋体"/>
          <w:szCs w:val="21"/>
          <w:highlight w:val="none"/>
        </w:rPr>
        <w:t xml:space="preserve"> </w:t>
      </w:r>
      <w:r>
        <w:rPr>
          <w:rFonts w:hint="eastAsia" w:ascii="宋体" w:hAnsi="宋体" w:cs="宋体"/>
          <w:bCs/>
          <w:szCs w:val="21"/>
          <w:highlight w:val="none"/>
        </w:rPr>
        <w:t>调解</w:t>
      </w:r>
    </w:p>
    <w:p w14:paraId="01C468E6">
      <w:pPr>
        <w:snapToGrid w:val="0"/>
        <w:spacing w:line="360" w:lineRule="auto"/>
        <w:ind w:firstLine="411" w:firstLineChars="196"/>
        <w:jc w:val="left"/>
        <w:rPr>
          <w:rFonts w:ascii="宋体" w:cs="宋体"/>
          <w:szCs w:val="21"/>
          <w:highlight w:val="none"/>
        </w:rPr>
      </w:pPr>
      <w:r>
        <w:rPr>
          <w:rFonts w:hint="eastAsia" w:ascii="宋体" w:hAnsi="宋体" w:cs="宋体"/>
          <w:szCs w:val="21"/>
          <w:highlight w:val="none"/>
        </w:rPr>
        <w:t>本合同争议进行调解时，可提交</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进行调解。</w:t>
      </w:r>
    </w:p>
    <w:p w14:paraId="66F90310">
      <w:pPr>
        <w:snapToGrid w:val="0"/>
        <w:spacing w:line="360" w:lineRule="auto"/>
        <w:ind w:firstLine="205" w:firstLineChars="98"/>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3</w:t>
      </w:r>
      <w:r>
        <w:rPr>
          <w:rFonts w:ascii="宋体" w:hAnsi="宋体" w:cs="宋体"/>
          <w:szCs w:val="21"/>
          <w:highlight w:val="none"/>
        </w:rPr>
        <w:t xml:space="preserve"> </w:t>
      </w:r>
      <w:r>
        <w:rPr>
          <w:rFonts w:hint="eastAsia" w:ascii="宋体" w:hAnsi="宋体" w:cs="宋体"/>
          <w:bCs/>
          <w:szCs w:val="21"/>
          <w:highlight w:val="none"/>
        </w:rPr>
        <w:t>仲裁或诉讼</w:t>
      </w:r>
    </w:p>
    <w:p w14:paraId="79F76FE7">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合同争议的最终解决方式为下列第</w:t>
      </w:r>
      <w:r>
        <w:rPr>
          <w:rFonts w:hint="eastAsia" w:ascii="宋体" w:hAnsi="宋体" w:cs="宋体"/>
          <w:szCs w:val="21"/>
          <w:highlight w:val="none"/>
          <w:u w:val="single"/>
        </w:rPr>
        <w:t>2</w:t>
      </w:r>
      <w:r>
        <w:rPr>
          <w:rFonts w:ascii="宋体" w:hAnsi="宋体" w:cs="宋体"/>
          <w:szCs w:val="21"/>
          <w:highlight w:val="none"/>
          <w:u w:val="single"/>
        </w:rPr>
        <w:t xml:space="preserve"> </w:t>
      </w:r>
      <w:r>
        <w:rPr>
          <w:rFonts w:hint="eastAsia" w:ascii="宋体" w:hAnsi="宋体" w:cs="宋体"/>
          <w:szCs w:val="21"/>
          <w:highlight w:val="none"/>
        </w:rPr>
        <w:t>种方式：</w:t>
      </w:r>
    </w:p>
    <w:p w14:paraId="248CE1C3">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）提请</w:t>
      </w:r>
      <w:r>
        <w:rPr>
          <w:rFonts w:ascii="宋体" w:hAnsi="宋体" w:cs="宋体"/>
          <w:szCs w:val="21"/>
          <w:highlight w:val="none"/>
          <w:u w:val="single"/>
        </w:rPr>
        <w:t xml:space="preserve">        </w:t>
      </w:r>
      <w:r>
        <w:rPr>
          <w:rFonts w:hint="eastAsia" w:ascii="宋体" w:hAnsi="宋体" w:cs="宋体"/>
          <w:szCs w:val="21"/>
          <w:highlight w:val="none"/>
        </w:rPr>
        <w:t>仲裁委员会进行仲裁。</w:t>
      </w:r>
    </w:p>
    <w:p w14:paraId="4BBDBE98">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）向</w:t>
      </w:r>
      <w:r>
        <w:rPr>
          <w:rFonts w:hint="eastAsia" w:ascii="宋体" w:hAnsi="宋体" w:cs="宋体"/>
          <w:kern w:val="0"/>
          <w:szCs w:val="21"/>
          <w:highlight w:val="none"/>
          <w:u w:val="single"/>
        </w:rPr>
        <w:t>无锡市</w:t>
      </w:r>
      <w:r>
        <w:rPr>
          <w:rFonts w:hint="eastAsia" w:ascii="宋体" w:hAnsi="宋体" w:cs="宋体"/>
          <w:szCs w:val="21"/>
          <w:highlight w:val="none"/>
        </w:rPr>
        <w:t>人民法院提起诉讼。</w:t>
      </w:r>
    </w:p>
    <w:p w14:paraId="4945B55E">
      <w:pPr>
        <w:spacing w:line="360" w:lineRule="auto"/>
        <w:jc w:val="left"/>
        <w:outlineLvl w:val="2"/>
        <w:rPr>
          <w:rFonts w:ascii="宋体" w:cs="宋体"/>
          <w:b/>
          <w:szCs w:val="21"/>
          <w:highlight w:val="none"/>
        </w:rPr>
      </w:pPr>
      <w:bookmarkStart w:id="321" w:name="_Toc509302678"/>
      <w:bookmarkStart w:id="322" w:name="_Toc478380043"/>
      <w:bookmarkStart w:id="323" w:name="_Toc478373439"/>
      <w:bookmarkStart w:id="324" w:name="_Toc527955021"/>
      <w:r>
        <w:rPr>
          <w:rFonts w:ascii="宋体" w:hAnsi="宋体" w:cs="宋体"/>
          <w:b/>
          <w:szCs w:val="21"/>
          <w:highlight w:val="none"/>
        </w:rPr>
        <w:t xml:space="preserve">9. </w:t>
      </w:r>
      <w:r>
        <w:rPr>
          <w:rFonts w:hint="eastAsia" w:ascii="宋体" w:hAnsi="宋体" w:cs="宋体"/>
          <w:b/>
          <w:szCs w:val="21"/>
          <w:highlight w:val="none"/>
        </w:rPr>
        <w:t>其他</w:t>
      </w:r>
      <w:bookmarkEnd w:id="321"/>
      <w:bookmarkEnd w:id="322"/>
      <w:bookmarkEnd w:id="323"/>
      <w:bookmarkEnd w:id="324"/>
    </w:p>
    <w:p w14:paraId="124BC36C">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9.1 </w:t>
      </w:r>
      <w:r>
        <w:rPr>
          <w:rFonts w:hint="eastAsia" w:ascii="宋体" w:hAnsi="宋体" w:cs="宋体"/>
          <w:szCs w:val="21"/>
          <w:highlight w:val="none"/>
        </w:rPr>
        <w:t>检测费用</w:t>
      </w:r>
    </w:p>
    <w:p w14:paraId="7F94CBC4">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委托人应在检测工作完成后</w:t>
      </w:r>
      <w:r>
        <w:rPr>
          <w:rFonts w:ascii="宋体" w:hAnsi="宋体" w:cs="宋体"/>
          <w:szCs w:val="21"/>
          <w:highlight w:val="none"/>
          <w:u w:val="single"/>
        </w:rPr>
        <w:t xml:space="preserve">      </w:t>
      </w:r>
      <w:r>
        <w:rPr>
          <w:rFonts w:hint="eastAsia" w:ascii="宋体" w:hAnsi="宋体" w:cs="宋体"/>
          <w:szCs w:val="21"/>
          <w:highlight w:val="none"/>
        </w:rPr>
        <w:t>天内支付检测费用。</w:t>
      </w:r>
    </w:p>
    <w:p w14:paraId="0A5A0DA0">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9.2 </w:t>
      </w:r>
      <w:r>
        <w:rPr>
          <w:rFonts w:hint="eastAsia" w:ascii="宋体" w:hAnsi="宋体" w:cs="宋体"/>
          <w:szCs w:val="21"/>
          <w:highlight w:val="none"/>
        </w:rPr>
        <w:t>咨询费用</w:t>
      </w:r>
    </w:p>
    <w:p w14:paraId="3BC96A7F">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委托人应在咨询工作完成后</w:t>
      </w:r>
      <w:r>
        <w:rPr>
          <w:rFonts w:ascii="宋体" w:hAnsi="宋体" w:cs="宋体"/>
          <w:szCs w:val="21"/>
          <w:highlight w:val="none"/>
        </w:rPr>
        <w:t xml:space="preserve"> </w:t>
      </w:r>
      <w:r>
        <w:rPr>
          <w:rFonts w:ascii="宋体" w:hAnsi="宋体" w:cs="宋体"/>
          <w:szCs w:val="21"/>
          <w:highlight w:val="none"/>
          <w:u w:val="single"/>
        </w:rPr>
        <w:t xml:space="preserve">     </w:t>
      </w:r>
      <w:r>
        <w:rPr>
          <w:rFonts w:hint="eastAsia" w:ascii="宋体" w:hAnsi="宋体" w:cs="宋体"/>
          <w:szCs w:val="21"/>
          <w:highlight w:val="none"/>
        </w:rPr>
        <w:t>天内支付咨询费用。</w:t>
      </w:r>
    </w:p>
    <w:p w14:paraId="39076CE5">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9.3 </w:t>
      </w:r>
      <w:r>
        <w:rPr>
          <w:rFonts w:hint="eastAsia" w:ascii="宋体" w:hAnsi="宋体" w:cs="宋体"/>
          <w:szCs w:val="21"/>
          <w:highlight w:val="none"/>
        </w:rPr>
        <w:t>奖励</w:t>
      </w:r>
    </w:p>
    <w:p w14:paraId="6CE9501A">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合理化建议的奖励金额按下列方法确定为：</w:t>
      </w:r>
    </w:p>
    <w:p w14:paraId="4DB2D727">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奖励金额＝工程投资节省额×奖励金额的比率；</w:t>
      </w:r>
    </w:p>
    <w:p w14:paraId="60F4C79C">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奖励金额的比率为</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ascii="宋体" w:hAnsi="宋体" w:cs="宋体"/>
          <w:szCs w:val="21"/>
          <w:highlight w:val="none"/>
        </w:rPr>
        <w:t>%</w:t>
      </w:r>
      <w:r>
        <w:rPr>
          <w:rFonts w:hint="eastAsia" w:ascii="宋体" w:hAnsi="宋体" w:cs="宋体"/>
          <w:szCs w:val="21"/>
          <w:highlight w:val="none"/>
        </w:rPr>
        <w:t>。</w:t>
      </w:r>
    </w:p>
    <w:p w14:paraId="299AA0B6">
      <w:pPr>
        <w:adjustRightInd w:val="0"/>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9.4 </w:t>
      </w:r>
      <w:r>
        <w:rPr>
          <w:rFonts w:hint="eastAsia" w:ascii="宋体" w:hAnsi="宋体" w:cs="宋体"/>
          <w:szCs w:val="21"/>
          <w:highlight w:val="none"/>
        </w:rPr>
        <w:t>保密</w:t>
      </w:r>
    </w:p>
    <w:p w14:paraId="2C143551">
      <w:pPr>
        <w:adjustRightInd w:val="0"/>
        <w:snapToGrid w:val="0"/>
        <w:spacing w:line="360" w:lineRule="auto"/>
        <w:ind w:firstLine="420" w:firstLineChars="200"/>
        <w:jc w:val="left"/>
        <w:rPr>
          <w:rFonts w:ascii="宋体" w:cs="宋体"/>
          <w:szCs w:val="21"/>
          <w:highlight w:val="none"/>
          <w:u w:val="single"/>
        </w:rPr>
      </w:pPr>
      <w:r>
        <w:rPr>
          <w:rFonts w:hint="eastAsia" w:ascii="宋体" w:hAnsi="宋体" w:cs="宋体"/>
          <w:szCs w:val="21"/>
          <w:highlight w:val="none"/>
        </w:rPr>
        <w:t>委托人申明的保密事项和期限：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1E4E3E0B">
      <w:pPr>
        <w:adjustRightInd w:val="0"/>
        <w:snapToGrid w:val="0"/>
        <w:spacing w:line="360" w:lineRule="auto"/>
        <w:ind w:firstLine="420" w:firstLineChars="200"/>
        <w:jc w:val="left"/>
        <w:rPr>
          <w:rFonts w:ascii="宋体" w:cs="宋体"/>
          <w:szCs w:val="21"/>
          <w:highlight w:val="none"/>
          <w:u w:val="single"/>
        </w:rPr>
      </w:pPr>
      <w:r>
        <w:rPr>
          <w:rFonts w:hint="eastAsia" w:ascii="宋体" w:hAnsi="宋体" w:cs="宋体"/>
          <w:szCs w:val="21"/>
          <w:highlight w:val="none"/>
        </w:rPr>
        <w:t>受托人申明的保密事项和期限：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3AAEE8C3">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第三方申明的保密事项和期限：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63246697">
      <w:pPr>
        <w:snapToGrid w:val="0"/>
        <w:spacing w:line="360" w:lineRule="auto"/>
        <w:ind w:firstLine="210" w:firstLineChars="100"/>
        <w:jc w:val="left"/>
        <w:rPr>
          <w:rFonts w:ascii="宋体" w:cs="宋体"/>
          <w:bCs/>
          <w:szCs w:val="21"/>
          <w:highlight w:val="none"/>
        </w:rPr>
      </w:pPr>
      <w:r>
        <w:rPr>
          <w:rFonts w:ascii="宋体" w:hAnsi="宋体" w:cs="宋体"/>
          <w:szCs w:val="21"/>
          <w:highlight w:val="none"/>
        </w:rPr>
        <w:t>9</w:t>
      </w:r>
      <w:r>
        <w:rPr>
          <w:rFonts w:ascii="宋体" w:hAnsi="宋体" w:cs="宋体"/>
          <w:bCs/>
          <w:szCs w:val="21"/>
          <w:highlight w:val="none"/>
        </w:rPr>
        <w:t xml:space="preserve">.5 </w:t>
      </w:r>
      <w:r>
        <w:rPr>
          <w:rFonts w:hint="eastAsia" w:ascii="宋体" w:hAnsi="宋体" w:cs="宋体"/>
          <w:bCs/>
          <w:szCs w:val="21"/>
          <w:highlight w:val="none"/>
        </w:rPr>
        <w:t>知识产权</w:t>
      </w:r>
    </w:p>
    <w:p w14:paraId="0680A253">
      <w:pPr>
        <w:snapToGrid w:val="0"/>
        <w:spacing w:line="360" w:lineRule="auto"/>
        <w:ind w:firstLine="424" w:firstLineChars="202"/>
        <w:jc w:val="left"/>
        <w:rPr>
          <w:rFonts w:ascii="宋体" w:cs="宋体"/>
          <w:bCs/>
          <w:szCs w:val="21"/>
          <w:highlight w:val="none"/>
        </w:rPr>
      </w:pPr>
      <w:r>
        <w:rPr>
          <w:rFonts w:ascii="宋体" w:hAnsi="宋体" w:cs="宋体"/>
          <w:szCs w:val="21"/>
          <w:highlight w:val="none"/>
        </w:rPr>
        <w:t>9</w:t>
      </w:r>
      <w:r>
        <w:rPr>
          <w:rFonts w:ascii="宋体" w:hAnsi="宋体" w:cs="宋体"/>
          <w:bCs/>
          <w:szCs w:val="21"/>
          <w:highlight w:val="none"/>
        </w:rPr>
        <w:t>.5.1</w:t>
      </w:r>
      <w:r>
        <w:rPr>
          <w:rFonts w:hint="eastAsia" w:ascii="宋体" w:hAnsi="宋体" w:cs="宋体"/>
          <w:bCs/>
          <w:szCs w:val="21"/>
          <w:highlight w:val="none"/>
        </w:rPr>
        <w:t>关于委托人提供给受托人的图纸、委托人为实施工程自行编制或委托编制的技术规格以及反映委托人关于合同要求或其他类似性质的文件的著作权的归属：</w:t>
      </w:r>
      <w:r>
        <w:rPr>
          <w:rFonts w:hint="eastAsia" w:ascii="宋体" w:hAnsi="宋体" w:cs="宋体"/>
          <w:kern w:val="0"/>
          <w:szCs w:val="21"/>
          <w:highlight w:val="none"/>
          <w:u w:val="single"/>
        </w:rPr>
        <w:t>委托人</w:t>
      </w:r>
    </w:p>
    <w:p w14:paraId="0FDFFA1C">
      <w:pPr>
        <w:snapToGrid w:val="0"/>
        <w:spacing w:line="360" w:lineRule="auto"/>
        <w:ind w:firstLine="424" w:firstLineChars="202"/>
        <w:jc w:val="left"/>
        <w:rPr>
          <w:rFonts w:ascii="宋体" w:cs="宋体"/>
          <w:bCs/>
          <w:szCs w:val="21"/>
          <w:highlight w:val="none"/>
          <w:u w:val="single"/>
        </w:rPr>
      </w:pPr>
      <w:r>
        <w:rPr>
          <w:rFonts w:hint="eastAsia" w:ascii="宋体" w:hAnsi="宋体" w:cs="宋体"/>
          <w:bCs/>
          <w:szCs w:val="21"/>
          <w:highlight w:val="none"/>
        </w:rPr>
        <w:t>关于委托人提供的上述文件的使用限制的要求：</w:t>
      </w:r>
      <w:r>
        <w:rPr>
          <w:rFonts w:hint="eastAsia" w:ascii="宋体" w:hAnsi="宋体" w:cs="宋体"/>
          <w:kern w:val="0"/>
          <w:szCs w:val="21"/>
          <w:highlight w:val="none"/>
          <w:u w:val="single"/>
        </w:rPr>
        <w:t>双方另行协商</w:t>
      </w:r>
    </w:p>
    <w:p w14:paraId="1E8AC13E">
      <w:pPr>
        <w:snapToGrid w:val="0"/>
        <w:spacing w:line="360" w:lineRule="auto"/>
        <w:ind w:firstLine="424" w:firstLineChars="202"/>
        <w:jc w:val="left"/>
        <w:rPr>
          <w:rFonts w:hint="eastAsia" w:ascii="宋体" w:hAnsi="宋体" w:cs="宋体"/>
          <w:bCs/>
          <w:szCs w:val="21"/>
          <w:highlight w:val="none"/>
          <w:u w:val="single"/>
        </w:rPr>
      </w:pPr>
      <w:r>
        <w:rPr>
          <w:rFonts w:ascii="宋体" w:hAnsi="宋体" w:cs="宋体"/>
          <w:szCs w:val="21"/>
          <w:highlight w:val="none"/>
        </w:rPr>
        <w:t>9</w:t>
      </w:r>
      <w:r>
        <w:rPr>
          <w:rFonts w:ascii="宋体" w:hAnsi="宋体" w:cs="宋体"/>
          <w:bCs/>
          <w:szCs w:val="21"/>
          <w:highlight w:val="none"/>
        </w:rPr>
        <w:t>.5.2</w:t>
      </w:r>
      <w:r>
        <w:rPr>
          <w:rFonts w:hint="eastAsia" w:ascii="宋体" w:hAnsi="宋体" w:cs="宋体"/>
          <w:bCs/>
          <w:szCs w:val="21"/>
          <w:highlight w:val="none"/>
        </w:rPr>
        <w:t>关于受托人为实施工程所编制文件的著作权的归属：</w:t>
      </w:r>
      <w:r>
        <w:rPr>
          <w:rFonts w:hint="eastAsia" w:ascii="宋体" w:hAnsi="宋体" w:cs="宋体"/>
          <w:kern w:val="0"/>
          <w:szCs w:val="21"/>
          <w:highlight w:val="none"/>
          <w:u w:val="single"/>
        </w:rPr>
        <w:t>受托人</w:t>
      </w:r>
    </w:p>
    <w:p w14:paraId="4C241C6C">
      <w:pPr>
        <w:snapToGrid w:val="0"/>
        <w:spacing w:line="360" w:lineRule="auto"/>
        <w:ind w:firstLine="424" w:firstLineChars="202"/>
        <w:jc w:val="left"/>
        <w:rPr>
          <w:rFonts w:ascii="宋体" w:cs="宋体"/>
          <w:bCs/>
          <w:szCs w:val="21"/>
          <w:highlight w:val="none"/>
          <w:u w:val="single"/>
        </w:rPr>
      </w:pPr>
      <w:r>
        <w:rPr>
          <w:rFonts w:hint="eastAsia" w:ascii="宋体" w:hAnsi="宋体" w:cs="宋体"/>
          <w:bCs/>
          <w:szCs w:val="21"/>
          <w:highlight w:val="none"/>
        </w:rPr>
        <w:t>关于受托人提供的上述文件的使用限制的要求：</w:t>
      </w:r>
      <w:r>
        <w:rPr>
          <w:rFonts w:hint="eastAsia" w:ascii="宋体" w:hAnsi="宋体" w:cs="宋体"/>
          <w:bCs/>
          <w:szCs w:val="21"/>
          <w:highlight w:val="none"/>
          <w:u w:val="single"/>
        </w:rPr>
        <w:t></w:t>
      </w:r>
      <w:r>
        <w:rPr>
          <w:rFonts w:ascii="宋体" w:hAnsi="宋体" w:cs="宋体"/>
          <w:bCs/>
          <w:szCs w:val="21"/>
          <w:highlight w:val="none"/>
          <w:u w:val="single"/>
        </w:rPr>
        <w:t xml:space="preserve"> </w:t>
      </w:r>
      <w:r>
        <w:rPr>
          <w:rFonts w:hint="eastAsia" w:ascii="宋体" w:hAnsi="宋体" w:cs="宋体"/>
          <w:bCs/>
          <w:szCs w:val="21"/>
          <w:highlight w:val="none"/>
          <w:u w:val="single"/>
        </w:rPr>
        <w:t>/</w:t>
      </w:r>
      <w:r>
        <w:rPr>
          <w:rFonts w:ascii="宋体" w:hAnsi="宋体" w:cs="宋体"/>
          <w:bCs/>
          <w:szCs w:val="21"/>
          <w:highlight w:val="none"/>
          <w:u w:val="single"/>
        </w:rPr>
        <w:t xml:space="preserve">  </w:t>
      </w:r>
      <w:r>
        <w:rPr>
          <w:rFonts w:hint="eastAsia" w:ascii="宋体" w:hAnsi="宋体" w:cs="宋体"/>
          <w:bCs/>
          <w:szCs w:val="21"/>
          <w:highlight w:val="none"/>
          <w:u w:val="single"/>
        </w:rPr>
        <w:t></w:t>
      </w:r>
    </w:p>
    <w:p w14:paraId="20633E38">
      <w:pPr>
        <w:snapToGrid w:val="0"/>
        <w:spacing w:line="360" w:lineRule="auto"/>
        <w:ind w:firstLine="424" w:firstLineChars="202"/>
        <w:jc w:val="left"/>
        <w:rPr>
          <w:rFonts w:ascii="宋体" w:cs="宋体"/>
          <w:szCs w:val="21"/>
          <w:highlight w:val="none"/>
        </w:rPr>
      </w:pPr>
      <w:r>
        <w:rPr>
          <w:rFonts w:ascii="宋体" w:hAnsi="宋体" w:cs="宋体"/>
          <w:szCs w:val="21"/>
          <w:highlight w:val="none"/>
        </w:rPr>
        <w:t>9</w:t>
      </w:r>
      <w:r>
        <w:rPr>
          <w:rFonts w:ascii="宋体" w:hAnsi="宋体" w:cs="宋体"/>
          <w:bCs/>
          <w:szCs w:val="21"/>
          <w:highlight w:val="none"/>
        </w:rPr>
        <w:t>.5.3</w:t>
      </w:r>
      <w:r>
        <w:rPr>
          <w:rFonts w:hint="eastAsia" w:ascii="宋体" w:hAnsi="宋体" w:cs="宋体"/>
          <w:bCs/>
          <w:szCs w:val="21"/>
          <w:highlight w:val="none"/>
        </w:rPr>
        <w:t>受托人在设计过程中所采用的专利、专有技术的使用费的承担方式：</w:t>
      </w:r>
      <w:r>
        <w:rPr>
          <w:rFonts w:ascii="宋体" w:hAnsi="宋体" w:cs="宋体"/>
          <w:bCs/>
          <w:szCs w:val="21"/>
          <w:highlight w:val="none"/>
          <w:u w:val="single"/>
        </w:rPr>
        <w:t xml:space="preserve">  </w:t>
      </w:r>
      <w:r>
        <w:rPr>
          <w:rFonts w:hint="eastAsia" w:ascii="宋体" w:hAnsi="宋体" w:cs="宋体"/>
          <w:bCs/>
          <w:szCs w:val="21"/>
          <w:highlight w:val="none"/>
          <w:u w:val="single"/>
        </w:rPr>
        <w:t>/</w:t>
      </w:r>
    </w:p>
    <w:p w14:paraId="1A569BCD">
      <w:pPr>
        <w:spacing w:line="360" w:lineRule="auto"/>
        <w:jc w:val="left"/>
        <w:outlineLvl w:val="2"/>
        <w:rPr>
          <w:rFonts w:ascii="宋体" w:cs="宋体"/>
          <w:b/>
          <w:szCs w:val="21"/>
          <w:highlight w:val="none"/>
        </w:rPr>
      </w:pPr>
      <w:bookmarkStart w:id="325" w:name="_Toc509302679"/>
      <w:bookmarkStart w:id="326" w:name="_Toc478380044"/>
      <w:bookmarkStart w:id="327" w:name="_Toc527955022"/>
      <w:bookmarkStart w:id="328" w:name="_Toc478373440"/>
      <w:r>
        <w:rPr>
          <w:rFonts w:ascii="宋体" w:hAnsi="宋体" w:cs="宋体"/>
          <w:b/>
          <w:szCs w:val="21"/>
          <w:highlight w:val="none"/>
        </w:rPr>
        <w:t xml:space="preserve">10. </w:t>
      </w:r>
      <w:r>
        <w:rPr>
          <w:rFonts w:hint="eastAsia" w:ascii="宋体" w:hAnsi="宋体" w:cs="宋体"/>
          <w:b/>
          <w:szCs w:val="21"/>
          <w:highlight w:val="none"/>
        </w:rPr>
        <w:t>补充条款</w:t>
      </w:r>
      <w:bookmarkEnd w:id="325"/>
      <w:bookmarkEnd w:id="326"/>
      <w:bookmarkEnd w:id="327"/>
      <w:bookmarkEnd w:id="328"/>
    </w:p>
    <w:p w14:paraId="07A3B675">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人员到日常到岗：</w:t>
      </w:r>
    </w:p>
    <w:p w14:paraId="2E9B55B6">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项目总负责人：每周（星期一至星期五）到场不少于5天，每天到场时间不小于8小时，双休日按需到场；</w:t>
      </w:r>
    </w:p>
    <w:p w14:paraId="1833EB3B">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监理服务：总监每周到场7天，每天到场时间不小于8小时；其他监理人员每周到场7天，每天到场时间不小于8小时的。</w:t>
      </w:r>
    </w:p>
    <w:p w14:paraId="1AD3EE2F">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工程造价咨询服务：工程造价咨询负责人每周（星期一至星期五）到场5天的，每天到场时间不小于5小时，节假日按需到场；其他造价咨询人员每周（星期一至星期五）到场5天的，每天到场时间不小于5小时，节假日按需到场。</w:t>
      </w:r>
    </w:p>
    <w:p w14:paraId="4F6539F2">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双方约定的配备人员和专业必须满足工程建设需要；未达到约定天数的，每少一天承包人应向发包人支付违约金2000元；未达到人员专业需求的，应向发包人支付违约金1000元/人·天。会议及检查时期保证出席，确有情况无法参加时，应得到发包人代表的同意，如未做到，承包人承担 2000元/人次的违约金。</w:t>
      </w:r>
    </w:p>
    <w:p w14:paraId="796CCD94">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主要管理人员每月在现场时间未达到合同约定天数的，每人每少一天承包人承担违约金2000元，如累计到位率未达到总到位率的80%（到位率由发包人进行考核），则承包人将承担合同价2%的违约金。上述人员必须亲自参加每次现场工地例会、专题例会（确有情况无法参加时，应得到发包人代表的同意），如未做到，承包人承担 1000元/人次的违约金。上述违约金从同期工程款中扣除。</w:t>
      </w:r>
    </w:p>
    <w:p w14:paraId="5E17B0B5">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招标人有权要求投标人在全工程咨询过程中，根据项目的实际要求增加相应的项目组人员，并接受考核，中标人需无条件接受。</w:t>
      </w:r>
    </w:p>
    <w:p w14:paraId="4DE2F907">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缴纳履约保证金的形式为开具银行保函，需确保保函有效期覆盖合同期。若合同在执行过程中保函即将过期，乙方需提前一个月重新开具银行保函交至甲方，否则甲方将停付进度款。</w:t>
      </w:r>
    </w:p>
    <w:p w14:paraId="17786341">
      <w:pPr>
        <w:jc w:val="left"/>
        <w:rPr>
          <w:highlight w:val="none"/>
        </w:rPr>
      </w:pPr>
    </w:p>
    <w:p w14:paraId="4DA74B95">
      <w:pPr>
        <w:jc w:val="left"/>
        <w:rPr>
          <w:highlight w:val="none"/>
        </w:rPr>
        <w:sectPr>
          <w:pgSz w:w="11906" w:h="16838"/>
          <w:pgMar w:top="1440" w:right="1800" w:bottom="1440" w:left="1800" w:header="851" w:footer="992" w:gutter="0"/>
          <w:cols w:space="720" w:num="1"/>
          <w:docGrid w:type="linesAndChars" w:linePitch="312" w:charSpace="0"/>
        </w:sectPr>
      </w:pPr>
    </w:p>
    <w:p w14:paraId="71CB1556">
      <w:pPr>
        <w:spacing w:line="360" w:lineRule="auto"/>
        <w:jc w:val="left"/>
        <w:outlineLvl w:val="2"/>
        <w:rPr>
          <w:rFonts w:ascii="宋体" w:cs="宋体"/>
          <w:b/>
          <w:szCs w:val="21"/>
          <w:highlight w:val="none"/>
        </w:rPr>
      </w:pPr>
      <w:bookmarkStart w:id="329" w:name="_Toc527955023"/>
      <w:r>
        <w:rPr>
          <w:rFonts w:hint="eastAsia" w:ascii="宋体" w:hAnsi="宋体"/>
          <w:b/>
          <w:bCs/>
          <w:sz w:val="24"/>
          <w:highlight w:val="none"/>
        </w:rPr>
        <w:t>附录</w:t>
      </w:r>
      <w:r>
        <w:rPr>
          <w:rFonts w:ascii="宋体" w:hAnsi="宋体"/>
          <w:b/>
          <w:bCs/>
          <w:sz w:val="24"/>
          <w:highlight w:val="none"/>
        </w:rPr>
        <w:t>1</w:t>
      </w:r>
      <w:r>
        <w:rPr>
          <w:rFonts w:hint="eastAsia" w:ascii="宋体" w:hAnsi="宋体"/>
          <w:b/>
          <w:bCs/>
          <w:sz w:val="24"/>
          <w:highlight w:val="none"/>
          <w:lang w:val="en-US" w:eastAsia="zh-CN"/>
        </w:rPr>
        <w:t xml:space="preserve"> </w:t>
      </w:r>
      <w:r>
        <w:rPr>
          <w:rFonts w:hint="eastAsia" w:ascii="宋体" w:hAnsi="宋体"/>
          <w:b/>
          <w:bCs/>
          <w:sz w:val="24"/>
          <w:highlight w:val="none"/>
        </w:rPr>
        <w:t>全过程工程咨询服务机构人员配备表</w:t>
      </w:r>
    </w:p>
    <w:p w14:paraId="16FE79CF">
      <w:pPr>
        <w:spacing w:line="360" w:lineRule="auto"/>
        <w:jc w:val="left"/>
        <w:outlineLvl w:val="2"/>
        <w:rPr>
          <w:rFonts w:ascii="宋体"/>
          <w:b/>
          <w:bCs/>
          <w:sz w:val="24"/>
          <w:highlight w:val="none"/>
        </w:rPr>
      </w:pPr>
    </w:p>
    <w:bookmarkEnd w:id="329"/>
    <w:tbl>
      <w:tblPr>
        <w:tblStyle w:val="34"/>
        <w:tblW w:w="7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964"/>
        <w:gridCol w:w="1158"/>
        <w:gridCol w:w="1061"/>
        <w:gridCol w:w="775"/>
        <w:gridCol w:w="1110"/>
        <w:gridCol w:w="1110"/>
        <w:gridCol w:w="1105"/>
      </w:tblGrid>
      <w:tr w14:paraId="4BC5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3B93B911">
            <w:pPr>
              <w:adjustRightInd w:val="0"/>
              <w:snapToGrid w:val="0"/>
              <w:spacing w:line="420" w:lineRule="exact"/>
              <w:jc w:val="left"/>
              <w:rPr>
                <w:rFonts w:cs="宋体"/>
                <w:szCs w:val="21"/>
                <w:highlight w:val="none"/>
              </w:rPr>
            </w:pPr>
            <w:r>
              <w:rPr>
                <w:rFonts w:hint="eastAsia" w:hAnsi="宋体" w:cs="宋体"/>
                <w:szCs w:val="21"/>
                <w:highlight w:val="none"/>
              </w:rPr>
              <w:t>序号</w:t>
            </w:r>
          </w:p>
        </w:tc>
        <w:tc>
          <w:tcPr>
            <w:tcW w:w="964" w:type="dxa"/>
            <w:tcMar>
              <w:left w:w="28" w:type="dxa"/>
              <w:right w:w="28" w:type="dxa"/>
            </w:tcMar>
            <w:vAlign w:val="center"/>
          </w:tcPr>
          <w:p w14:paraId="2D2F83DD">
            <w:pPr>
              <w:adjustRightInd w:val="0"/>
              <w:snapToGrid w:val="0"/>
              <w:spacing w:line="420" w:lineRule="exact"/>
              <w:jc w:val="left"/>
              <w:rPr>
                <w:rFonts w:cs="宋体"/>
                <w:szCs w:val="21"/>
                <w:highlight w:val="none"/>
              </w:rPr>
            </w:pPr>
            <w:r>
              <w:rPr>
                <w:rFonts w:hint="eastAsia" w:hAnsi="宋体" w:cs="宋体"/>
                <w:szCs w:val="21"/>
                <w:highlight w:val="none"/>
              </w:rPr>
              <w:t>职务</w:t>
            </w:r>
          </w:p>
        </w:tc>
        <w:tc>
          <w:tcPr>
            <w:tcW w:w="1158" w:type="dxa"/>
            <w:tcMar>
              <w:left w:w="28" w:type="dxa"/>
              <w:right w:w="28" w:type="dxa"/>
            </w:tcMar>
            <w:vAlign w:val="center"/>
          </w:tcPr>
          <w:p w14:paraId="12E28217">
            <w:pPr>
              <w:adjustRightInd w:val="0"/>
              <w:snapToGrid w:val="0"/>
              <w:spacing w:line="420" w:lineRule="exact"/>
              <w:jc w:val="left"/>
              <w:rPr>
                <w:rFonts w:cs="宋体"/>
                <w:szCs w:val="21"/>
                <w:highlight w:val="none"/>
              </w:rPr>
            </w:pPr>
            <w:r>
              <w:rPr>
                <w:rFonts w:hint="eastAsia" w:hAnsi="宋体" w:cs="宋体"/>
                <w:szCs w:val="21"/>
                <w:highlight w:val="none"/>
              </w:rPr>
              <w:t>姓名</w:t>
            </w:r>
          </w:p>
        </w:tc>
        <w:tc>
          <w:tcPr>
            <w:tcW w:w="1061" w:type="dxa"/>
            <w:tcMar>
              <w:left w:w="28" w:type="dxa"/>
              <w:right w:w="28" w:type="dxa"/>
            </w:tcMar>
            <w:vAlign w:val="center"/>
          </w:tcPr>
          <w:p w14:paraId="16A566CD">
            <w:pPr>
              <w:adjustRightInd w:val="0"/>
              <w:snapToGrid w:val="0"/>
              <w:spacing w:line="420" w:lineRule="exact"/>
              <w:jc w:val="left"/>
              <w:rPr>
                <w:rFonts w:cs="宋体"/>
                <w:szCs w:val="21"/>
                <w:highlight w:val="none"/>
              </w:rPr>
            </w:pPr>
            <w:r>
              <w:rPr>
                <w:rFonts w:hint="eastAsia" w:hAnsi="宋体" w:cs="宋体"/>
                <w:szCs w:val="21"/>
                <w:highlight w:val="none"/>
              </w:rPr>
              <w:t>专业</w:t>
            </w:r>
          </w:p>
        </w:tc>
        <w:tc>
          <w:tcPr>
            <w:tcW w:w="775" w:type="dxa"/>
            <w:tcMar>
              <w:left w:w="28" w:type="dxa"/>
              <w:right w:w="28" w:type="dxa"/>
            </w:tcMar>
            <w:vAlign w:val="center"/>
          </w:tcPr>
          <w:p w14:paraId="62659406">
            <w:pPr>
              <w:adjustRightInd w:val="0"/>
              <w:snapToGrid w:val="0"/>
              <w:spacing w:line="420" w:lineRule="exact"/>
              <w:jc w:val="left"/>
              <w:rPr>
                <w:rFonts w:cs="宋体"/>
                <w:szCs w:val="21"/>
                <w:highlight w:val="none"/>
              </w:rPr>
            </w:pPr>
            <w:r>
              <w:rPr>
                <w:rFonts w:hint="eastAsia" w:hAnsi="宋体" w:cs="宋体"/>
                <w:szCs w:val="21"/>
                <w:highlight w:val="none"/>
              </w:rPr>
              <w:t>年龄</w:t>
            </w:r>
          </w:p>
        </w:tc>
        <w:tc>
          <w:tcPr>
            <w:tcW w:w="1110" w:type="dxa"/>
            <w:vAlign w:val="center"/>
          </w:tcPr>
          <w:p w14:paraId="6DEC83F1">
            <w:pPr>
              <w:adjustRightInd w:val="0"/>
              <w:snapToGrid w:val="0"/>
              <w:spacing w:line="420" w:lineRule="exact"/>
              <w:jc w:val="left"/>
              <w:rPr>
                <w:rFonts w:cs="宋体"/>
                <w:szCs w:val="21"/>
                <w:highlight w:val="none"/>
              </w:rPr>
            </w:pPr>
            <w:r>
              <w:rPr>
                <w:rFonts w:hint="eastAsia" w:hAnsi="宋体" w:cs="宋体"/>
                <w:szCs w:val="21"/>
                <w:highlight w:val="none"/>
              </w:rPr>
              <w:t>执业资格</w:t>
            </w:r>
          </w:p>
        </w:tc>
        <w:tc>
          <w:tcPr>
            <w:tcW w:w="1110" w:type="dxa"/>
            <w:vAlign w:val="center"/>
          </w:tcPr>
          <w:p w14:paraId="258EA59F">
            <w:pPr>
              <w:adjustRightInd w:val="0"/>
              <w:snapToGrid w:val="0"/>
              <w:spacing w:line="420" w:lineRule="exact"/>
              <w:jc w:val="left"/>
              <w:rPr>
                <w:rFonts w:cs="宋体"/>
                <w:szCs w:val="21"/>
                <w:highlight w:val="none"/>
              </w:rPr>
            </w:pPr>
            <w:r>
              <w:rPr>
                <w:rFonts w:hint="eastAsia" w:hAnsi="宋体" w:cs="宋体"/>
                <w:szCs w:val="21"/>
                <w:highlight w:val="none"/>
              </w:rPr>
              <w:t>注册号</w:t>
            </w:r>
          </w:p>
        </w:tc>
        <w:tc>
          <w:tcPr>
            <w:tcW w:w="1105" w:type="dxa"/>
            <w:tcMar>
              <w:left w:w="28" w:type="dxa"/>
              <w:right w:w="28" w:type="dxa"/>
            </w:tcMar>
            <w:vAlign w:val="center"/>
          </w:tcPr>
          <w:p w14:paraId="6C747BFB">
            <w:pPr>
              <w:adjustRightInd w:val="0"/>
              <w:snapToGrid w:val="0"/>
              <w:spacing w:line="420" w:lineRule="exact"/>
              <w:jc w:val="left"/>
              <w:rPr>
                <w:rFonts w:cs="宋体"/>
                <w:szCs w:val="21"/>
                <w:highlight w:val="none"/>
              </w:rPr>
            </w:pPr>
            <w:r>
              <w:rPr>
                <w:rFonts w:hint="eastAsia" w:hAnsi="宋体" w:cs="宋体"/>
                <w:szCs w:val="21"/>
                <w:highlight w:val="none"/>
              </w:rPr>
              <w:t>备注</w:t>
            </w:r>
          </w:p>
        </w:tc>
      </w:tr>
      <w:tr w14:paraId="113C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6A4FAC4D">
            <w:pPr>
              <w:adjustRightInd w:val="0"/>
              <w:snapToGrid w:val="0"/>
              <w:spacing w:line="420" w:lineRule="exact"/>
              <w:jc w:val="left"/>
              <w:rPr>
                <w:rFonts w:hint="eastAsia" w:hAnsi="宋体" w:cs="宋体"/>
                <w:szCs w:val="21"/>
                <w:highlight w:val="none"/>
              </w:rPr>
            </w:pPr>
            <w:r>
              <w:rPr>
                <w:rFonts w:hAnsi="宋体" w:cs="宋体"/>
                <w:szCs w:val="21"/>
                <w:highlight w:val="none"/>
              </w:rPr>
              <w:t>1</w:t>
            </w:r>
          </w:p>
        </w:tc>
        <w:tc>
          <w:tcPr>
            <w:tcW w:w="964" w:type="dxa"/>
            <w:tcMar>
              <w:left w:w="28" w:type="dxa"/>
              <w:right w:w="28" w:type="dxa"/>
            </w:tcMar>
            <w:vAlign w:val="center"/>
          </w:tcPr>
          <w:p w14:paraId="0D91E6EF">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315513F3">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27EB22CD">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2A2DDEE">
            <w:pPr>
              <w:adjustRightInd w:val="0"/>
              <w:snapToGrid w:val="0"/>
              <w:spacing w:line="360" w:lineRule="auto"/>
              <w:jc w:val="left"/>
              <w:rPr>
                <w:rFonts w:cs="宋体"/>
                <w:szCs w:val="21"/>
                <w:highlight w:val="none"/>
              </w:rPr>
            </w:pPr>
          </w:p>
        </w:tc>
        <w:tc>
          <w:tcPr>
            <w:tcW w:w="1110" w:type="dxa"/>
          </w:tcPr>
          <w:p w14:paraId="3D28A391">
            <w:pPr>
              <w:adjustRightInd w:val="0"/>
              <w:snapToGrid w:val="0"/>
              <w:spacing w:line="360" w:lineRule="auto"/>
              <w:jc w:val="left"/>
              <w:rPr>
                <w:rFonts w:cs="宋体"/>
                <w:szCs w:val="21"/>
                <w:highlight w:val="none"/>
              </w:rPr>
            </w:pPr>
          </w:p>
        </w:tc>
        <w:tc>
          <w:tcPr>
            <w:tcW w:w="1110" w:type="dxa"/>
          </w:tcPr>
          <w:p w14:paraId="5B17BCAE">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38AE493C">
            <w:pPr>
              <w:adjustRightInd w:val="0"/>
              <w:snapToGrid w:val="0"/>
              <w:spacing w:line="360" w:lineRule="auto"/>
              <w:jc w:val="left"/>
              <w:rPr>
                <w:rFonts w:cs="宋体"/>
                <w:szCs w:val="21"/>
                <w:highlight w:val="none"/>
              </w:rPr>
            </w:pPr>
          </w:p>
        </w:tc>
      </w:tr>
      <w:tr w14:paraId="0C9E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53DA4977">
            <w:pPr>
              <w:adjustRightInd w:val="0"/>
              <w:snapToGrid w:val="0"/>
              <w:spacing w:line="420" w:lineRule="exact"/>
              <w:jc w:val="left"/>
              <w:rPr>
                <w:rFonts w:hint="eastAsia" w:hAnsi="宋体" w:cs="宋体"/>
                <w:szCs w:val="21"/>
                <w:highlight w:val="none"/>
              </w:rPr>
            </w:pPr>
            <w:r>
              <w:rPr>
                <w:rFonts w:hAnsi="宋体" w:cs="宋体"/>
                <w:szCs w:val="21"/>
                <w:highlight w:val="none"/>
              </w:rPr>
              <w:t>2</w:t>
            </w:r>
          </w:p>
        </w:tc>
        <w:tc>
          <w:tcPr>
            <w:tcW w:w="964" w:type="dxa"/>
            <w:tcMar>
              <w:left w:w="28" w:type="dxa"/>
              <w:right w:w="28" w:type="dxa"/>
            </w:tcMar>
            <w:vAlign w:val="center"/>
          </w:tcPr>
          <w:p w14:paraId="78412CA6">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775AD503">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72AAC5E7">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1C772BD3">
            <w:pPr>
              <w:adjustRightInd w:val="0"/>
              <w:snapToGrid w:val="0"/>
              <w:spacing w:line="360" w:lineRule="auto"/>
              <w:jc w:val="left"/>
              <w:rPr>
                <w:rFonts w:cs="宋体"/>
                <w:szCs w:val="21"/>
                <w:highlight w:val="none"/>
              </w:rPr>
            </w:pPr>
          </w:p>
        </w:tc>
        <w:tc>
          <w:tcPr>
            <w:tcW w:w="1110" w:type="dxa"/>
          </w:tcPr>
          <w:p w14:paraId="22D90FB3">
            <w:pPr>
              <w:adjustRightInd w:val="0"/>
              <w:snapToGrid w:val="0"/>
              <w:spacing w:line="360" w:lineRule="auto"/>
              <w:jc w:val="left"/>
              <w:rPr>
                <w:rFonts w:cs="宋体"/>
                <w:szCs w:val="21"/>
                <w:highlight w:val="none"/>
              </w:rPr>
            </w:pPr>
          </w:p>
        </w:tc>
        <w:tc>
          <w:tcPr>
            <w:tcW w:w="1110" w:type="dxa"/>
          </w:tcPr>
          <w:p w14:paraId="7C3C1BE4">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907002D">
            <w:pPr>
              <w:adjustRightInd w:val="0"/>
              <w:snapToGrid w:val="0"/>
              <w:spacing w:line="360" w:lineRule="auto"/>
              <w:jc w:val="left"/>
              <w:rPr>
                <w:rFonts w:cs="宋体"/>
                <w:szCs w:val="21"/>
                <w:highlight w:val="none"/>
              </w:rPr>
            </w:pPr>
          </w:p>
        </w:tc>
      </w:tr>
      <w:tr w14:paraId="2EE3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396F9010">
            <w:pPr>
              <w:adjustRightInd w:val="0"/>
              <w:snapToGrid w:val="0"/>
              <w:spacing w:line="420" w:lineRule="exact"/>
              <w:jc w:val="left"/>
              <w:rPr>
                <w:rFonts w:hint="eastAsia" w:hAnsi="宋体" w:cs="宋体"/>
                <w:szCs w:val="21"/>
                <w:highlight w:val="none"/>
              </w:rPr>
            </w:pPr>
            <w:r>
              <w:rPr>
                <w:rFonts w:hAnsi="宋体" w:cs="宋体"/>
                <w:szCs w:val="21"/>
                <w:highlight w:val="none"/>
              </w:rPr>
              <w:t>3</w:t>
            </w:r>
          </w:p>
        </w:tc>
        <w:tc>
          <w:tcPr>
            <w:tcW w:w="964" w:type="dxa"/>
            <w:tcMar>
              <w:left w:w="28" w:type="dxa"/>
              <w:right w:w="28" w:type="dxa"/>
            </w:tcMar>
            <w:vAlign w:val="center"/>
          </w:tcPr>
          <w:p w14:paraId="07F67847">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570F3B1">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2941941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53DBC299">
            <w:pPr>
              <w:adjustRightInd w:val="0"/>
              <w:snapToGrid w:val="0"/>
              <w:spacing w:line="360" w:lineRule="auto"/>
              <w:jc w:val="left"/>
              <w:rPr>
                <w:rFonts w:cs="宋体"/>
                <w:szCs w:val="21"/>
                <w:highlight w:val="none"/>
              </w:rPr>
            </w:pPr>
          </w:p>
        </w:tc>
        <w:tc>
          <w:tcPr>
            <w:tcW w:w="1110" w:type="dxa"/>
          </w:tcPr>
          <w:p w14:paraId="30C54BEA">
            <w:pPr>
              <w:adjustRightInd w:val="0"/>
              <w:snapToGrid w:val="0"/>
              <w:spacing w:line="360" w:lineRule="auto"/>
              <w:jc w:val="left"/>
              <w:rPr>
                <w:rFonts w:cs="宋体"/>
                <w:szCs w:val="21"/>
                <w:highlight w:val="none"/>
              </w:rPr>
            </w:pPr>
          </w:p>
        </w:tc>
        <w:tc>
          <w:tcPr>
            <w:tcW w:w="1110" w:type="dxa"/>
          </w:tcPr>
          <w:p w14:paraId="1BFE0BCE">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7C178F5C">
            <w:pPr>
              <w:adjustRightInd w:val="0"/>
              <w:snapToGrid w:val="0"/>
              <w:spacing w:line="360" w:lineRule="auto"/>
              <w:jc w:val="left"/>
              <w:rPr>
                <w:rFonts w:cs="宋体"/>
                <w:szCs w:val="21"/>
                <w:highlight w:val="none"/>
              </w:rPr>
            </w:pPr>
          </w:p>
        </w:tc>
      </w:tr>
      <w:tr w14:paraId="13AF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7226F387">
            <w:pPr>
              <w:adjustRightInd w:val="0"/>
              <w:snapToGrid w:val="0"/>
              <w:spacing w:line="420" w:lineRule="exact"/>
              <w:jc w:val="left"/>
              <w:rPr>
                <w:rFonts w:hint="eastAsia" w:hAnsi="宋体" w:cs="宋体"/>
                <w:szCs w:val="21"/>
                <w:highlight w:val="none"/>
              </w:rPr>
            </w:pPr>
            <w:r>
              <w:rPr>
                <w:rFonts w:hAnsi="宋体" w:cs="宋体"/>
                <w:szCs w:val="21"/>
                <w:highlight w:val="none"/>
              </w:rPr>
              <w:t>4</w:t>
            </w:r>
          </w:p>
        </w:tc>
        <w:tc>
          <w:tcPr>
            <w:tcW w:w="964" w:type="dxa"/>
            <w:tcMar>
              <w:left w:w="28" w:type="dxa"/>
              <w:right w:w="28" w:type="dxa"/>
            </w:tcMar>
            <w:vAlign w:val="center"/>
          </w:tcPr>
          <w:p w14:paraId="5B596CE4">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0B34192">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7E7303E">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B3288D4">
            <w:pPr>
              <w:adjustRightInd w:val="0"/>
              <w:snapToGrid w:val="0"/>
              <w:spacing w:line="360" w:lineRule="auto"/>
              <w:jc w:val="left"/>
              <w:rPr>
                <w:rFonts w:cs="宋体"/>
                <w:szCs w:val="21"/>
                <w:highlight w:val="none"/>
              </w:rPr>
            </w:pPr>
          </w:p>
        </w:tc>
        <w:tc>
          <w:tcPr>
            <w:tcW w:w="1110" w:type="dxa"/>
          </w:tcPr>
          <w:p w14:paraId="2CB7D960">
            <w:pPr>
              <w:adjustRightInd w:val="0"/>
              <w:snapToGrid w:val="0"/>
              <w:spacing w:line="360" w:lineRule="auto"/>
              <w:jc w:val="left"/>
              <w:rPr>
                <w:rFonts w:cs="宋体"/>
                <w:szCs w:val="21"/>
                <w:highlight w:val="none"/>
              </w:rPr>
            </w:pPr>
          </w:p>
        </w:tc>
        <w:tc>
          <w:tcPr>
            <w:tcW w:w="1110" w:type="dxa"/>
          </w:tcPr>
          <w:p w14:paraId="241AFFBC">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3AD18A31">
            <w:pPr>
              <w:adjustRightInd w:val="0"/>
              <w:snapToGrid w:val="0"/>
              <w:spacing w:line="360" w:lineRule="auto"/>
              <w:jc w:val="left"/>
              <w:rPr>
                <w:rFonts w:cs="宋体"/>
                <w:szCs w:val="21"/>
                <w:highlight w:val="none"/>
              </w:rPr>
            </w:pPr>
          </w:p>
        </w:tc>
      </w:tr>
      <w:tr w14:paraId="0391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46D55B83">
            <w:pPr>
              <w:adjustRightInd w:val="0"/>
              <w:snapToGrid w:val="0"/>
              <w:spacing w:line="420" w:lineRule="exact"/>
              <w:jc w:val="left"/>
              <w:rPr>
                <w:rFonts w:hint="eastAsia" w:hAnsi="宋体" w:cs="宋体"/>
                <w:szCs w:val="21"/>
                <w:highlight w:val="none"/>
              </w:rPr>
            </w:pPr>
            <w:r>
              <w:rPr>
                <w:rFonts w:hAnsi="宋体" w:cs="宋体"/>
                <w:szCs w:val="21"/>
                <w:highlight w:val="none"/>
              </w:rPr>
              <w:t>5</w:t>
            </w:r>
          </w:p>
        </w:tc>
        <w:tc>
          <w:tcPr>
            <w:tcW w:w="964" w:type="dxa"/>
            <w:tcMar>
              <w:left w:w="28" w:type="dxa"/>
              <w:right w:w="28" w:type="dxa"/>
            </w:tcMar>
            <w:vAlign w:val="center"/>
          </w:tcPr>
          <w:p w14:paraId="02247D8C">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4CF105E0">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557B4E0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766E13DF">
            <w:pPr>
              <w:adjustRightInd w:val="0"/>
              <w:snapToGrid w:val="0"/>
              <w:spacing w:line="360" w:lineRule="auto"/>
              <w:jc w:val="left"/>
              <w:rPr>
                <w:rFonts w:cs="宋体"/>
                <w:szCs w:val="21"/>
                <w:highlight w:val="none"/>
              </w:rPr>
            </w:pPr>
          </w:p>
        </w:tc>
        <w:tc>
          <w:tcPr>
            <w:tcW w:w="1110" w:type="dxa"/>
          </w:tcPr>
          <w:p w14:paraId="77FD5954">
            <w:pPr>
              <w:adjustRightInd w:val="0"/>
              <w:snapToGrid w:val="0"/>
              <w:spacing w:line="360" w:lineRule="auto"/>
              <w:jc w:val="left"/>
              <w:rPr>
                <w:rFonts w:cs="宋体"/>
                <w:szCs w:val="21"/>
                <w:highlight w:val="none"/>
              </w:rPr>
            </w:pPr>
          </w:p>
        </w:tc>
        <w:tc>
          <w:tcPr>
            <w:tcW w:w="1110" w:type="dxa"/>
          </w:tcPr>
          <w:p w14:paraId="4D58ED84">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679CC07C">
            <w:pPr>
              <w:adjustRightInd w:val="0"/>
              <w:snapToGrid w:val="0"/>
              <w:spacing w:line="360" w:lineRule="auto"/>
              <w:jc w:val="left"/>
              <w:rPr>
                <w:rFonts w:cs="宋体"/>
                <w:szCs w:val="21"/>
                <w:highlight w:val="none"/>
              </w:rPr>
            </w:pPr>
          </w:p>
        </w:tc>
      </w:tr>
      <w:tr w14:paraId="4A010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772784F3">
            <w:pPr>
              <w:adjustRightInd w:val="0"/>
              <w:snapToGrid w:val="0"/>
              <w:spacing w:line="420" w:lineRule="exact"/>
              <w:jc w:val="left"/>
              <w:rPr>
                <w:rFonts w:hint="eastAsia" w:hAnsi="宋体" w:cs="宋体"/>
                <w:szCs w:val="21"/>
                <w:highlight w:val="none"/>
              </w:rPr>
            </w:pPr>
            <w:r>
              <w:rPr>
                <w:rFonts w:hAnsi="宋体" w:cs="宋体"/>
                <w:szCs w:val="21"/>
                <w:highlight w:val="none"/>
              </w:rPr>
              <w:t>6</w:t>
            </w:r>
          </w:p>
        </w:tc>
        <w:tc>
          <w:tcPr>
            <w:tcW w:w="964" w:type="dxa"/>
            <w:tcMar>
              <w:left w:w="28" w:type="dxa"/>
              <w:right w:w="28" w:type="dxa"/>
            </w:tcMar>
            <w:vAlign w:val="center"/>
          </w:tcPr>
          <w:p w14:paraId="422448FA">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05106B7A">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61F7D3D3">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7B8641CE">
            <w:pPr>
              <w:adjustRightInd w:val="0"/>
              <w:snapToGrid w:val="0"/>
              <w:spacing w:line="360" w:lineRule="auto"/>
              <w:jc w:val="left"/>
              <w:rPr>
                <w:rFonts w:cs="宋体"/>
                <w:szCs w:val="21"/>
                <w:highlight w:val="none"/>
              </w:rPr>
            </w:pPr>
          </w:p>
        </w:tc>
        <w:tc>
          <w:tcPr>
            <w:tcW w:w="1110" w:type="dxa"/>
          </w:tcPr>
          <w:p w14:paraId="68977B36">
            <w:pPr>
              <w:adjustRightInd w:val="0"/>
              <w:snapToGrid w:val="0"/>
              <w:spacing w:line="360" w:lineRule="auto"/>
              <w:jc w:val="left"/>
              <w:rPr>
                <w:rFonts w:cs="宋体"/>
                <w:szCs w:val="21"/>
                <w:highlight w:val="none"/>
              </w:rPr>
            </w:pPr>
          </w:p>
        </w:tc>
        <w:tc>
          <w:tcPr>
            <w:tcW w:w="1110" w:type="dxa"/>
          </w:tcPr>
          <w:p w14:paraId="165EBEBB">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4BC7C5ED">
            <w:pPr>
              <w:adjustRightInd w:val="0"/>
              <w:snapToGrid w:val="0"/>
              <w:spacing w:line="360" w:lineRule="auto"/>
              <w:jc w:val="left"/>
              <w:rPr>
                <w:rFonts w:cs="宋体"/>
                <w:szCs w:val="21"/>
                <w:highlight w:val="none"/>
              </w:rPr>
            </w:pPr>
          </w:p>
        </w:tc>
      </w:tr>
      <w:tr w14:paraId="140C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243F57CE">
            <w:pPr>
              <w:adjustRightInd w:val="0"/>
              <w:snapToGrid w:val="0"/>
              <w:spacing w:line="420" w:lineRule="exact"/>
              <w:jc w:val="left"/>
              <w:rPr>
                <w:rFonts w:hint="eastAsia" w:hAnsi="宋体" w:cs="宋体"/>
                <w:szCs w:val="21"/>
                <w:highlight w:val="none"/>
              </w:rPr>
            </w:pPr>
            <w:r>
              <w:rPr>
                <w:rFonts w:hAnsi="宋体" w:cs="宋体"/>
                <w:szCs w:val="21"/>
                <w:highlight w:val="none"/>
              </w:rPr>
              <w:t>7</w:t>
            </w:r>
          </w:p>
        </w:tc>
        <w:tc>
          <w:tcPr>
            <w:tcW w:w="964" w:type="dxa"/>
            <w:tcMar>
              <w:left w:w="28" w:type="dxa"/>
              <w:right w:w="28" w:type="dxa"/>
            </w:tcMar>
            <w:vAlign w:val="center"/>
          </w:tcPr>
          <w:p w14:paraId="2D18424B">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6B40387">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12F80213">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4F7456F0">
            <w:pPr>
              <w:adjustRightInd w:val="0"/>
              <w:snapToGrid w:val="0"/>
              <w:spacing w:line="360" w:lineRule="auto"/>
              <w:jc w:val="left"/>
              <w:rPr>
                <w:rFonts w:cs="宋体"/>
                <w:szCs w:val="21"/>
                <w:highlight w:val="none"/>
              </w:rPr>
            </w:pPr>
          </w:p>
        </w:tc>
        <w:tc>
          <w:tcPr>
            <w:tcW w:w="1110" w:type="dxa"/>
          </w:tcPr>
          <w:p w14:paraId="3D380C54">
            <w:pPr>
              <w:adjustRightInd w:val="0"/>
              <w:snapToGrid w:val="0"/>
              <w:spacing w:line="360" w:lineRule="auto"/>
              <w:jc w:val="left"/>
              <w:rPr>
                <w:rFonts w:cs="宋体"/>
                <w:szCs w:val="21"/>
                <w:highlight w:val="none"/>
              </w:rPr>
            </w:pPr>
          </w:p>
        </w:tc>
        <w:tc>
          <w:tcPr>
            <w:tcW w:w="1110" w:type="dxa"/>
          </w:tcPr>
          <w:p w14:paraId="2A3DD5DF">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142A04F">
            <w:pPr>
              <w:adjustRightInd w:val="0"/>
              <w:snapToGrid w:val="0"/>
              <w:spacing w:line="360" w:lineRule="auto"/>
              <w:jc w:val="left"/>
              <w:rPr>
                <w:rFonts w:cs="宋体"/>
                <w:szCs w:val="21"/>
                <w:highlight w:val="none"/>
              </w:rPr>
            </w:pPr>
          </w:p>
        </w:tc>
      </w:tr>
      <w:tr w14:paraId="3EFF8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46E61B21">
            <w:pPr>
              <w:adjustRightInd w:val="0"/>
              <w:snapToGrid w:val="0"/>
              <w:spacing w:line="420" w:lineRule="exact"/>
              <w:jc w:val="left"/>
              <w:rPr>
                <w:rFonts w:hint="eastAsia" w:hAnsi="宋体" w:cs="宋体"/>
                <w:szCs w:val="21"/>
                <w:highlight w:val="none"/>
              </w:rPr>
            </w:pPr>
          </w:p>
        </w:tc>
        <w:tc>
          <w:tcPr>
            <w:tcW w:w="964" w:type="dxa"/>
            <w:tcMar>
              <w:left w:w="28" w:type="dxa"/>
              <w:right w:w="28" w:type="dxa"/>
            </w:tcMar>
            <w:vAlign w:val="center"/>
          </w:tcPr>
          <w:p w14:paraId="04AB99DB">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463A2A5E">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07840C0">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6058CF1A">
            <w:pPr>
              <w:adjustRightInd w:val="0"/>
              <w:snapToGrid w:val="0"/>
              <w:spacing w:line="360" w:lineRule="auto"/>
              <w:jc w:val="left"/>
              <w:rPr>
                <w:rFonts w:cs="宋体"/>
                <w:szCs w:val="21"/>
                <w:highlight w:val="none"/>
              </w:rPr>
            </w:pPr>
          </w:p>
        </w:tc>
        <w:tc>
          <w:tcPr>
            <w:tcW w:w="1110" w:type="dxa"/>
          </w:tcPr>
          <w:p w14:paraId="4A0E11FB">
            <w:pPr>
              <w:adjustRightInd w:val="0"/>
              <w:snapToGrid w:val="0"/>
              <w:spacing w:line="360" w:lineRule="auto"/>
              <w:jc w:val="left"/>
              <w:rPr>
                <w:rFonts w:cs="宋体"/>
                <w:szCs w:val="21"/>
                <w:highlight w:val="none"/>
              </w:rPr>
            </w:pPr>
          </w:p>
        </w:tc>
        <w:tc>
          <w:tcPr>
            <w:tcW w:w="1110" w:type="dxa"/>
          </w:tcPr>
          <w:p w14:paraId="18D4957D">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E77A4F1">
            <w:pPr>
              <w:adjustRightInd w:val="0"/>
              <w:snapToGrid w:val="0"/>
              <w:spacing w:line="360" w:lineRule="auto"/>
              <w:jc w:val="left"/>
              <w:rPr>
                <w:rFonts w:cs="宋体"/>
                <w:szCs w:val="21"/>
                <w:highlight w:val="none"/>
              </w:rPr>
            </w:pPr>
          </w:p>
        </w:tc>
      </w:tr>
      <w:tr w14:paraId="125D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6B965861">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01C96C04">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274182C9">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17432EBE">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764F1B7">
            <w:pPr>
              <w:adjustRightInd w:val="0"/>
              <w:snapToGrid w:val="0"/>
              <w:spacing w:line="360" w:lineRule="auto"/>
              <w:jc w:val="left"/>
              <w:rPr>
                <w:rFonts w:cs="宋体"/>
                <w:szCs w:val="21"/>
                <w:highlight w:val="none"/>
              </w:rPr>
            </w:pPr>
          </w:p>
        </w:tc>
        <w:tc>
          <w:tcPr>
            <w:tcW w:w="1110" w:type="dxa"/>
          </w:tcPr>
          <w:p w14:paraId="46999FEB">
            <w:pPr>
              <w:adjustRightInd w:val="0"/>
              <w:snapToGrid w:val="0"/>
              <w:spacing w:line="360" w:lineRule="auto"/>
              <w:jc w:val="left"/>
              <w:rPr>
                <w:rFonts w:cs="宋体"/>
                <w:szCs w:val="21"/>
                <w:highlight w:val="none"/>
              </w:rPr>
            </w:pPr>
          </w:p>
        </w:tc>
        <w:tc>
          <w:tcPr>
            <w:tcW w:w="1110" w:type="dxa"/>
          </w:tcPr>
          <w:p w14:paraId="0E98DB2F">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191D4144">
            <w:pPr>
              <w:adjustRightInd w:val="0"/>
              <w:snapToGrid w:val="0"/>
              <w:spacing w:line="360" w:lineRule="auto"/>
              <w:jc w:val="left"/>
              <w:rPr>
                <w:rFonts w:cs="宋体"/>
                <w:szCs w:val="21"/>
                <w:highlight w:val="none"/>
              </w:rPr>
            </w:pPr>
          </w:p>
        </w:tc>
      </w:tr>
      <w:tr w14:paraId="3417E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282EB384">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22A9861A">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5C8A614B">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3C36FE2">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3BA811AF">
            <w:pPr>
              <w:adjustRightInd w:val="0"/>
              <w:snapToGrid w:val="0"/>
              <w:spacing w:line="360" w:lineRule="auto"/>
              <w:jc w:val="left"/>
              <w:rPr>
                <w:rFonts w:cs="宋体"/>
                <w:szCs w:val="21"/>
                <w:highlight w:val="none"/>
              </w:rPr>
            </w:pPr>
          </w:p>
        </w:tc>
        <w:tc>
          <w:tcPr>
            <w:tcW w:w="1110" w:type="dxa"/>
          </w:tcPr>
          <w:p w14:paraId="39BB4596">
            <w:pPr>
              <w:adjustRightInd w:val="0"/>
              <w:snapToGrid w:val="0"/>
              <w:spacing w:line="360" w:lineRule="auto"/>
              <w:jc w:val="left"/>
              <w:rPr>
                <w:rFonts w:cs="宋体"/>
                <w:szCs w:val="21"/>
                <w:highlight w:val="none"/>
              </w:rPr>
            </w:pPr>
          </w:p>
        </w:tc>
        <w:tc>
          <w:tcPr>
            <w:tcW w:w="1110" w:type="dxa"/>
          </w:tcPr>
          <w:p w14:paraId="60694B41">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4278EC8E">
            <w:pPr>
              <w:adjustRightInd w:val="0"/>
              <w:snapToGrid w:val="0"/>
              <w:spacing w:line="360" w:lineRule="auto"/>
              <w:jc w:val="left"/>
              <w:rPr>
                <w:rFonts w:cs="宋体"/>
                <w:szCs w:val="21"/>
                <w:highlight w:val="none"/>
              </w:rPr>
            </w:pPr>
          </w:p>
        </w:tc>
      </w:tr>
      <w:tr w14:paraId="40CE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14B897B3">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08A077B0">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0F1C3D42">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966C7C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70BA724">
            <w:pPr>
              <w:adjustRightInd w:val="0"/>
              <w:snapToGrid w:val="0"/>
              <w:spacing w:line="360" w:lineRule="auto"/>
              <w:jc w:val="left"/>
              <w:rPr>
                <w:rFonts w:cs="宋体"/>
                <w:szCs w:val="21"/>
                <w:highlight w:val="none"/>
              </w:rPr>
            </w:pPr>
          </w:p>
        </w:tc>
        <w:tc>
          <w:tcPr>
            <w:tcW w:w="1110" w:type="dxa"/>
          </w:tcPr>
          <w:p w14:paraId="6517D53C">
            <w:pPr>
              <w:adjustRightInd w:val="0"/>
              <w:snapToGrid w:val="0"/>
              <w:spacing w:line="360" w:lineRule="auto"/>
              <w:jc w:val="left"/>
              <w:rPr>
                <w:rFonts w:cs="宋体"/>
                <w:szCs w:val="21"/>
                <w:highlight w:val="none"/>
              </w:rPr>
            </w:pPr>
          </w:p>
        </w:tc>
        <w:tc>
          <w:tcPr>
            <w:tcW w:w="1110" w:type="dxa"/>
          </w:tcPr>
          <w:p w14:paraId="5E5C51BC">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16B88B91">
            <w:pPr>
              <w:adjustRightInd w:val="0"/>
              <w:snapToGrid w:val="0"/>
              <w:spacing w:line="360" w:lineRule="auto"/>
              <w:jc w:val="left"/>
              <w:rPr>
                <w:rFonts w:cs="宋体"/>
                <w:szCs w:val="21"/>
                <w:highlight w:val="none"/>
              </w:rPr>
            </w:pPr>
          </w:p>
        </w:tc>
      </w:tr>
    </w:tbl>
    <w:p w14:paraId="5D6FA2B6">
      <w:pPr>
        <w:adjustRightInd w:val="0"/>
        <w:snapToGrid w:val="0"/>
        <w:spacing w:before="143" w:beforeLines="50" w:after="143" w:afterLines="50" w:line="360" w:lineRule="auto"/>
        <w:jc w:val="left"/>
        <w:rPr>
          <w:rFonts w:ascii="宋体" w:cs="宋体"/>
          <w:szCs w:val="21"/>
          <w:highlight w:val="none"/>
        </w:rPr>
      </w:pPr>
    </w:p>
    <w:p w14:paraId="1EC1F563">
      <w:pPr>
        <w:adjustRightInd w:val="0"/>
        <w:snapToGrid w:val="0"/>
        <w:spacing w:before="143" w:beforeLines="50" w:after="143" w:afterLines="50" w:line="360" w:lineRule="auto"/>
        <w:jc w:val="left"/>
        <w:rPr>
          <w:rFonts w:ascii="宋体" w:cs="宋体"/>
          <w:szCs w:val="21"/>
          <w:highlight w:val="none"/>
        </w:rPr>
      </w:pPr>
    </w:p>
    <w:p w14:paraId="182A17AF">
      <w:pPr>
        <w:rPr>
          <w:rFonts w:hint="eastAsia" w:ascii="宋体" w:hAnsi="宋体" w:eastAsia="宋体" w:cs="黑体"/>
          <w:b/>
          <w:kern w:val="2"/>
          <w:sz w:val="32"/>
          <w:highlight w:val="none"/>
          <w:lang w:val="en-US" w:eastAsia="zh-CN" w:bidi="ar-SA"/>
        </w:rPr>
      </w:pPr>
      <w:r>
        <w:rPr>
          <w:rFonts w:hint="eastAsia" w:ascii="宋体" w:hAnsi="宋体" w:eastAsia="宋体" w:cs="黑体"/>
          <w:b/>
          <w:kern w:val="2"/>
          <w:sz w:val="32"/>
          <w:highlight w:val="none"/>
          <w:lang w:val="en-US" w:eastAsia="zh-CN" w:bidi="ar-SA"/>
        </w:rPr>
        <w:br w:type="page"/>
      </w:r>
    </w:p>
    <w:p w14:paraId="11EFA591">
      <w:pPr>
        <w:numPr>
          <w:ilvl w:val="0"/>
          <w:numId w:val="0"/>
        </w:numPr>
        <w:spacing w:line="360" w:lineRule="auto"/>
        <w:ind w:left="210" w:leftChars="0"/>
        <w:jc w:val="center"/>
        <w:outlineLvl w:val="1"/>
        <w:rPr>
          <w:rFonts w:hint="eastAsia" w:ascii="宋体" w:hAnsi="宋体" w:cs="黑体"/>
          <w:b/>
          <w:sz w:val="32"/>
          <w:highlight w:val="none"/>
        </w:rPr>
      </w:pPr>
      <w:r>
        <w:rPr>
          <w:rFonts w:hint="eastAsia" w:ascii="宋体" w:hAnsi="宋体" w:eastAsia="宋体" w:cs="黑体"/>
          <w:b/>
          <w:kern w:val="2"/>
          <w:sz w:val="32"/>
          <w:highlight w:val="none"/>
          <w:lang w:val="en-US" w:eastAsia="zh-CN" w:bidi="ar-SA"/>
        </w:rPr>
        <w:t>第四部分</w:t>
      </w:r>
      <w:bookmarkStart w:id="330" w:name="_Toc527955024"/>
      <w:r>
        <w:rPr>
          <w:rFonts w:hint="eastAsia" w:ascii="宋体" w:hAnsi="宋体" w:cs="黑体"/>
          <w:b/>
          <w:sz w:val="32"/>
          <w:highlight w:val="none"/>
        </w:rPr>
        <w:t>技术要求</w:t>
      </w:r>
      <w:bookmarkEnd w:id="330"/>
    </w:p>
    <w:p w14:paraId="32FE6905">
      <w:pPr>
        <w:spacing w:line="360" w:lineRule="auto"/>
        <w:jc w:val="left"/>
        <w:outlineLvl w:val="3"/>
        <w:rPr>
          <w:rFonts w:hint="eastAsia" w:ascii="宋体" w:hAnsi="宋体"/>
          <w:b/>
          <w:bCs/>
          <w:sz w:val="24"/>
          <w:highlight w:val="none"/>
        </w:rPr>
      </w:pPr>
      <w:bookmarkStart w:id="331" w:name="_Toc527955036"/>
      <w:r>
        <w:rPr>
          <w:rFonts w:hint="eastAsia" w:ascii="宋体" w:hAnsi="宋体"/>
          <w:b/>
          <w:bCs/>
          <w:sz w:val="24"/>
          <w:highlight w:val="none"/>
        </w:rPr>
        <w:t>附件</w:t>
      </w:r>
      <w:r>
        <w:rPr>
          <w:rFonts w:ascii="宋体" w:hAnsi="宋体"/>
          <w:b/>
          <w:bCs/>
          <w:sz w:val="24"/>
          <w:highlight w:val="none"/>
        </w:rPr>
        <w:t>3</w:t>
      </w:r>
      <w:r>
        <w:rPr>
          <w:rFonts w:hint="eastAsia" w:ascii="宋体" w:hAnsi="宋体"/>
          <w:b/>
          <w:bCs/>
          <w:sz w:val="24"/>
          <w:highlight w:val="none"/>
          <w:lang w:val="en-US" w:eastAsia="zh-CN"/>
        </w:rPr>
        <w:t xml:space="preserve">  </w:t>
      </w:r>
      <w:r>
        <w:rPr>
          <w:rFonts w:hint="eastAsia" w:ascii="宋体" w:hAnsi="宋体"/>
          <w:b/>
          <w:bCs/>
          <w:sz w:val="24"/>
          <w:highlight w:val="none"/>
        </w:rPr>
        <w:t>委托人向受托人提交有关工程设计资料及文件一览表</w:t>
      </w:r>
    </w:p>
    <w:p w14:paraId="650FA135">
      <w:pPr>
        <w:spacing w:line="360" w:lineRule="auto"/>
        <w:jc w:val="left"/>
        <w:outlineLvl w:val="3"/>
        <w:rPr>
          <w:rFonts w:ascii="宋体"/>
          <w:b/>
          <w:bCs/>
          <w:sz w:val="24"/>
          <w:highlight w:val="none"/>
        </w:rPr>
      </w:pPr>
    </w:p>
    <w:bookmarkEnd w:id="331"/>
    <w:tbl>
      <w:tblPr>
        <w:tblStyle w:val="34"/>
        <w:tblpPr w:topFromText="180" w:bottomFromText="180" w:vertAnchor="text" w:horzAnchor="margin" w:tblpXSpec="center" w:tblpY="-270"/>
        <w:tblOverlap w:val="never"/>
        <w:tblW w:w="8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4999"/>
        <w:gridCol w:w="1701"/>
        <w:gridCol w:w="1087"/>
      </w:tblGrid>
      <w:tr w14:paraId="16262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638" w:type="dxa"/>
          </w:tcPr>
          <w:p w14:paraId="23A85788">
            <w:pPr>
              <w:snapToGrid w:val="0"/>
              <w:spacing w:line="360" w:lineRule="auto"/>
              <w:jc w:val="left"/>
              <w:rPr>
                <w:rFonts w:ascii="宋体"/>
                <w:b/>
                <w:bCs/>
                <w:szCs w:val="21"/>
                <w:highlight w:val="none"/>
              </w:rPr>
            </w:pPr>
            <w:r>
              <w:rPr>
                <w:rFonts w:hint="eastAsia" w:ascii="宋体" w:hAnsi="宋体"/>
                <w:b/>
                <w:bCs/>
                <w:szCs w:val="21"/>
                <w:highlight w:val="none"/>
              </w:rPr>
              <w:t>序号</w:t>
            </w:r>
          </w:p>
        </w:tc>
        <w:tc>
          <w:tcPr>
            <w:tcW w:w="4999" w:type="dxa"/>
          </w:tcPr>
          <w:p w14:paraId="0C32B7C1">
            <w:pPr>
              <w:snapToGrid w:val="0"/>
              <w:spacing w:line="360" w:lineRule="auto"/>
              <w:jc w:val="left"/>
              <w:rPr>
                <w:rFonts w:ascii="宋体"/>
                <w:b/>
                <w:bCs/>
                <w:szCs w:val="21"/>
                <w:highlight w:val="none"/>
              </w:rPr>
            </w:pPr>
            <w:r>
              <w:rPr>
                <w:rFonts w:hint="eastAsia" w:ascii="宋体" w:hAnsi="宋体"/>
                <w:b/>
                <w:bCs/>
                <w:szCs w:val="21"/>
                <w:highlight w:val="none"/>
              </w:rPr>
              <w:t>资料及文件名称</w:t>
            </w:r>
          </w:p>
        </w:tc>
        <w:tc>
          <w:tcPr>
            <w:tcW w:w="1701" w:type="dxa"/>
          </w:tcPr>
          <w:p w14:paraId="10C01533">
            <w:pPr>
              <w:snapToGrid w:val="0"/>
              <w:spacing w:line="360" w:lineRule="auto"/>
              <w:jc w:val="left"/>
              <w:rPr>
                <w:rFonts w:ascii="宋体"/>
                <w:b/>
                <w:bCs/>
                <w:szCs w:val="21"/>
                <w:highlight w:val="none"/>
              </w:rPr>
            </w:pPr>
            <w:r>
              <w:rPr>
                <w:rFonts w:hint="eastAsia" w:ascii="宋体" w:hAnsi="宋体"/>
                <w:b/>
                <w:bCs/>
                <w:szCs w:val="21"/>
                <w:highlight w:val="none"/>
              </w:rPr>
              <w:t>份数</w:t>
            </w:r>
          </w:p>
        </w:tc>
        <w:tc>
          <w:tcPr>
            <w:tcW w:w="1087" w:type="dxa"/>
          </w:tcPr>
          <w:p w14:paraId="33F9EDD7">
            <w:pPr>
              <w:snapToGrid w:val="0"/>
              <w:spacing w:line="360" w:lineRule="auto"/>
              <w:jc w:val="left"/>
              <w:rPr>
                <w:rFonts w:ascii="宋体"/>
                <w:b/>
                <w:bCs/>
                <w:szCs w:val="21"/>
                <w:highlight w:val="none"/>
              </w:rPr>
            </w:pPr>
            <w:r>
              <w:rPr>
                <w:rFonts w:hint="eastAsia" w:ascii="宋体" w:hAnsi="宋体"/>
                <w:b/>
                <w:bCs/>
                <w:szCs w:val="21"/>
                <w:highlight w:val="none"/>
              </w:rPr>
              <w:t>有关事宜</w:t>
            </w:r>
          </w:p>
        </w:tc>
      </w:tr>
      <w:tr w14:paraId="5FFE5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4FB229F3">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1003269">
            <w:pPr>
              <w:snapToGrid w:val="0"/>
              <w:spacing w:line="360" w:lineRule="auto"/>
              <w:jc w:val="left"/>
              <w:rPr>
                <w:rFonts w:ascii="宋体"/>
                <w:szCs w:val="21"/>
                <w:highlight w:val="none"/>
              </w:rPr>
            </w:pPr>
            <w:r>
              <w:rPr>
                <w:rFonts w:hint="eastAsia" w:ascii="宋体" w:hAnsi="宋体"/>
                <w:szCs w:val="21"/>
                <w:highlight w:val="none"/>
              </w:rPr>
              <w:t>项目立项报告和审批文件</w:t>
            </w:r>
          </w:p>
        </w:tc>
        <w:tc>
          <w:tcPr>
            <w:tcW w:w="1701" w:type="dxa"/>
          </w:tcPr>
          <w:p w14:paraId="7F9AA588">
            <w:pPr>
              <w:snapToGrid w:val="0"/>
              <w:spacing w:line="360" w:lineRule="auto"/>
              <w:jc w:val="left"/>
              <w:rPr>
                <w:rFonts w:ascii="宋体"/>
                <w:szCs w:val="21"/>
                <w:highlight w:val="none"/>
              </w:rPr>
            </w:pPr>
            <w:r>
              <w:rPr>
                <w:rFonts w:hint="eastAsia" w:ascii="宋体" w:hAnsi="宋体"/>
                <w:szCs w:val="21"/>
                <w:highlight w:val="none"/>
              </w:rPr>
              <w:t>各</w:t>
            </w:r>
            <w:r>
              <w:rPr>
                <w:rFonts w:ascii="宋体" w:hAnsi="宋体"/>
                <w:szCs w:val="21"/>
                <w:highlight w:val="none"/>
              </w:rPr>
              <w:t>1</w:t>
            </w:r>
          </w:p>
        </w:tc>
        <w:tc>
          <w:tcPr>
            <w:tcW w:w="1087" w:type="dxa"/>
            <w:vMerge w:val="restart"/>
          </w:tcPr>
          <w:p w14:paraId="6ACD45DF">
            <w:pPr>
              <w:snapToGrid w:val="0"/>
              <w:spacing w:line="360" w:lineRule="auto"/>
              <w:jc w:val="left"/>
              <w:rPr>
                <w:rFonts w:ascii="宋体"/>
                <w:szCs w:val="21"/>
                <w:highlight w:val="none"/>
              </w:rPr>
            </w:pPr>
          </w:p>
        </w:tc>
      </w:tr>
      <w:tr w14:paraId="48CE9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3C66CFFA">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4F457319">
            <w:pPr>
              <w:snapToGrid w:val="0"/>
              <w:spacing w:line="360" w:lineRule="auto"/>
              <w:jc w:val="left"/>
              <w:rPr>
                <w:rFonts w:ascii="宋体"/>
                <w:szCs w:val="21"/>
                <w:highlight w:val="none"/>
              </w:rPr>
            </w:pPr>
            <w:r>
              <w:rPr>
                <w:rFonts w:hint="eastAsia" w:ascii="宋体" w:hAnsi="宋体"/>
                <w:szCs w:val="21"/>
                <w:highlight w:val="none"/>
              </w:rPr>
              <w:t>场地内地下埋藏物（包括地下管线、地下构筑物等）的资料、图纸</w:t>
            </w:r>
          </w:p>
        </w:tc>
        <w:tc>
          <w:tcPr>
            <w:tcW w:w="1701" w:type="dxa"/>
          </w:tcPr>
          <w:p w14:paraId="365D78A6">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AEA47BB">
            <w:pPr>
              <w:snapToGrid w:val="0"/>
              <w:spacing w:line="360" w:lineRule="auto"/>
              <w:jc w:val="left"/>
              <w:rPr>
                <w:rFonts w:ascii="宋体"/>
                <w:szCs w:val="21"/>
                <w:highlight w:val="none"/>
              </w:rPr>
            </w:pPr>
          </w:p>
        </w:tc>
      </w:tr>
      <w:tr w14:paraId="2467C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38D3DE20">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2FD3224">
            <w:pPr>
              <w:snapToGrid w:val="0"/>
              <w:spacing w:line="360" w:lineRule="auto"/>
              <w:jc w:val="left"/>
              <w:rPr>
                <w:rFonts w:ascii="宋体"/>
                <w:szCs w:val="21"/>
                <w:highlight w:val="none"/>
              </w:rPr>
            </w:pPr>
            <w:r>
              <w:rPr>
                <w:rFonts w:hint="eastAsia" w:ascii="宋体" w:hAnsi="宋体"/>
                <w:szCs w:val="21"/>
                <w:highlight w:val="none"/>
              </w:rPr>
              <w:t>委托人要求即设计任务书（含对建筑、结构、给水排水、暖通空调、建筑电气、总图等专业的具体要求）</w:t>
            </w:r>
          </w:p>
        </w:tc>
        <w:tc>
          <w:tcPr>
            <w:tcW w:w="1701" w:type="dxa"/>
          </w:tcPr>
          <w:p w14:paraId="3679519E">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673CD943">
            <w:pPr>
              <w:snapToGrid w:val="0"/>
              <w:spacing w:line="360" w:lineRule="auto"/>
              <w:jc w:val="left"/>
              <w:rPr>
                <w:rFonts w:ascii="宋体"/>
                <w:szCs w:val="21"/>
                <w:highlight w:val="none"/>
              </w:rPr>
            </w:pPr>
          </w:p>
        </w:tc>
      </w:tr>
      <w:tr w14:paraId="31BB4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3C7F7121">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023DFCD">
            <w:pPr>
              <w:snapToGrid w:val="0"/>
              <w:spacing w:line="360" w:lineRule="auto"/>
              <w:jc w:val="left"/>
              <w:rPr>
                <w:rFonts w:ascii="宋体"/>
                <w:szCs w:val="21"/>
                <w:highlight w:val="none"/>
              </w:rPr>
            </w:pPr>
            <w:r>
              <w:rPr>
                <w:rFonts w:hint="eastAsia" w:ascii="宋体" w:hAnsi="宋体"/>
                <w:szCs w:val="21"/>
                <w:highlight w:val="none"/>
              </w:rPr>
              <w:t>建筑红线图</w:t>
            </w:r>
          </w:p>
        </w:tc>
        <w:tc>
          <w:tcPr>
            <w:tcW w:w="1701" w:type="dxa"/>
          </w:tcPr>
          <w:p w14:paraId="7B4D62A8">
            <w:pPr>
              <w:snapToGrid w:val="0"/>
              <w:spacing w:line="360" w:lineRule="auto"/>
              <w:jc w:val="left"/>
              <w:rPr>
                <w:rFonts w:ascii="宋体"/>
                <w:szCs w:val="21"/>
                <w:highlight w:val="none"/>
              </w:rPr>
            </w:pPr>
            <w:r>
              <w:rPr>
                <w:rFonts w:hint="eastAsia" w:ascii="宋体" w:hAnsi="宋体"/>
                <w:szCs w:val="21"/>
                <w:highlight w:val="none"/>
              </w:rPr>
              <w:t>各</w:t>
            </w:r>
            <w:r>
              <w:rPr>
                <w:rFonts w:ascii="宋体" w:hAnsi="宋体"/>
                <w:szCs w:val="21"/>
                <w:highlight w:val="none"/>
              </w:rPr>
              <w:t>1</w:t>
            </w:r>
          </w:p>
        </w:tc>
        <w:tc>
          <w:tcPr>
            <w:tcW w:w="1087" w:type="dxa"/>
            <w:vMerge w:val="continue"/>
          </w:tcPr>
          <w:p w14:paraId="62CEC729">
            <w:pPr>
              <w:snapToGrid w:val="0"/>
              <w:spacing w:line="360" w:lineRule="auto"/>
              <w:jc w:val="left"/>
              <w:rPr>
                <w:rFonts w:ascii="宋体"/>
                <w:szCs w:val="21"/>
                <w:highlight w:val="none"/>
              </w:rPr>
            </w:pPr>
          </w:p>
        </w:tc>
      </w:tr>
      <w:tr w14:paraId="65F51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78EBC442">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7D51A95">
            <w:pPr>
              <w:snapToGrid w:val="0"/>
              <w:spacing w:line="360" w:lineRule="auto"/>
              <w:jc w:val="left"/>
              <w:rPr>
                <w:rFonts w:ascii="宋体"/>
                <w:szCs w:val="21"/>
                <w:highlight w:val="none"/>
              </w:rPr>
            </w:pPr>
            <w:r>
              <w:rPr>
                <w:rFonts w:hint="eastAsia" w:ascii="宋体" w:hAnsi="宋体"/>
                <w:szCs w:val="21"/>
                <w:highlight w:val="none"/>
              </w:rPr>
              <w:t>当地规划部门的规划意见书</w:t>
            </w:r>
          </w:p>
        </w:tc>
        <w:tc>
          <w:tcPr>
            <w:tcW w:w="1701" w:type="dxa"/>
          </w:tcPr>
          <w:p w14:paraId="15696A52">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08209B5E">
            <w:pPr>
              <w:snapToGrid w:val="0"/>
              <w:spacing w:line="360" w:lineRule="auto"/>
              <w:jc w:val="left"/>
              <w:rPr>
                <w:rFonts w:ascii="宋体"/>
                <w:szCs w:val="21"/>
                <w:highlight w:val="none"/>
              </w:rPr>
            </w:pPr>
          </w:p>
        </w:tc>
      </w:tr>
      <w:tr w14:paraId="7820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062ECA4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4C1253F7">
            <w:pPr>
              <w:snapToGrid w:val="0"/>
              <w:spacing w:line="360" w:lineRule="auto"/>
              <w:jc w:val="left"/>
              <w:rPr>
                <w:rFonts w:ascii="宋体"/>
                <w:szCs w:val="21"/>
                <w:highlight w:val="none"/>
              </w:rPr>
            </w:pPr>
            <w:r>
              <w:rPr>
                <w:rFonts w:hint="eastAsia" w:ascii="宋体" w:hAnsi="宋体"/>
                <w:szCs w:val="21"/>
                <w:highlight w:val="none"/>
              </w:rPr>
              <w:t>工程勘察报告</w:t>
            </w:r>
          </w:p>
        </w:tc>
        <w:tc>
          <w:tcPr>
            <w:tcW w:w="1701" w:type="dxa"/>
          </w:tcPr>
          <w:p w14:paraId="762C0C95">
            <w:pPr>
              <w:snapToGrid w:val="0"/>
              <w:spacing w:line="360" w:lineRule="auto"/>
              <w:jc w:val="left"/>
              <w:rPr>
                <w:rFonts w:ascii="宋体"/>
                <w:szCs w:val="21"/>
                <w:highlight w:val="none"/>
              </w:rPr>
            </w:pPr>
            <w:r>
              <w:rPr>
                <w:rFonts w:ascii="宋体" w:hAnsi="宋体"/>
                <w:szCs w:val="21"/>
                <w:highlight w:val="none"/>
              </w:rPr>
              <w:t>2</w:t>
            </w:r>
          </w:p>
        </w:tc>
        <w:tc>
          <w:tcPr>
            <w:tcW w:w="1087" w:type="dxa"/>
            <w:vMerge w:val="continue"/>
          </w:tcPr>
          <w:p w14:paraId="12EBB8E0">
            <w:pPr>
              <w:snapToGrid w:val="0"/>
              <w:spacing w:line="360" w:lineRule="auto"/>
              <w:jc w:val="left"/>
              <w:rPr>
                <w:rFonts w:ascii="宋体"/>
                <w:szCs w:val="21"/>
                <w:highlight w:val="none"/>
              </w:rPr>
            </w:pPr>
          </w:p>
        </w:tc>
      </w:tr>
      <w:tr w14:paraId="73E92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05D9C806">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EDB3645">
            <w:pPr>
              <w:snapToGrid w:val="0"/>
              <w:spacing w:line="360" w:lineRule="auto"/>
              <w:jc w:val="left"/>
              <w:rPr>
                <w:rFonts w:ascii="宋体"/>
                <w:szCs w:val="21"/>
                <w:highlight w:val="none"/>
              </w:rPr>
            </w:pPr>
            <w:r>
              <w:rPr>
                <w:rFonts w:hint="eastAsia" w:ascii="宋体" w:hAnsi="宋体"/>
                <w:szCs w:val="21"/>
                <w:highlight w:val="none"/>
              </w:rPr>
              <w:t>各阶段主管部门的审批意见</w:t>
            </w:r>
          </w:p>
        </w:tc>
        <w:tc>
          <w:tcPr>
            <w:tcW w:w="1701" w:type="dxa"/>
          </w:tcPr>
          <w:p w14:paraId="0ABDAF5D">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29FD4267">
            <w:pPr>
              <w:snapToGrid w:val="0"/>
              <w:spacing w:line="360" w:lineRule="auto"/>
              <w:jc w:val="left"/>
              <w:rPr>
                <w:rFonts w:ascii="宋体"/>
                <w:szCs w:val="21"/>
                <w:highlight w:val="none"/>
              </w:rPr>
            </w:pPr>
          </w:p>
        </w:tc>
      </w:tr>
      <w:tr w14:paraId="7CE6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523FA0C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6E0763D4">
            <w:pPr>
              <w:snapToGrid w:val="0"/>
              <w:spacing w:line="360" w:lineRule="auto"/>
              <w:jc w:val="left"/>
              <w:rPr>
                <w:rFonts w:ascii="宋体"/>
                <w:szCs w:val="21"/>
                <w:highlight w:val="none"/>
              </w:rPr>
            </w:pPr>
            <w:r>
              <w:rPr>
                <w:rFonts w:hint="eastAsia" w:ascii="宋体" w:hAnsi="宋体"/>
                <w:szCs w:val="21"/>
                <w:highlight w:val="none"/>
              </w:rPr>
              <w:t>方案设计确认单</w:t>
            </w:r>
          </w:p>
        </w:tc>
        <w:tc>
          <w:tcPr>
            <w:tcW w:w="1701" w:type="dxa"/>
          </w:tcPr>
          <w:p w14:paraId="2C8DBA0C">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542725EA">
            <w:pPr>
              <w:snapToGrid w:val="0"/>
              <w:spacing w:line="360" w:lineRule="auto"/>
              <w:jc w:val="left"/>
              <w:rPr>
                <w:rFonts w:ascii="宋体"/>
                <w:szCs w:val="21"/>
                <w:highlight w:val="none"/>
              </w:rPr>
            </w:pPr>
          </w:p>
        </w:tc>
      </w:tr>
      <w:tr w14:paraId="4B551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2F0D6699">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025BB33">
            <w:pPr>
              <w:snapToGrid w:val="0"/>
              <w:spacing w:line="360" w:lineRule="auto"/>
              <w:jc w:val="left"/>
              <w:rPr>
                <w:rFonts w:ascii="宋体"/>
                <w:szCs w:val="21"/>
                <w:highlight w:val="none"/>
              </w:rPr>
            </w:pPr>
            <w:r>
              <w:rPr>
                <w:rFonts w:hint="eastAsia" w:ascii="宋体" w:hAnsi="宋体"/>
                <w:szCs w:val="21"/>
                <w:highlight w:val="none"/>
              </w:rPr>
              <w:t>工程所在地地形图（</w:t>
            </w:r>
            <w:r>
              <w:rPr>
                <w:rFonts w:ascii="宋体" w:hAnsi="宋体"/>
                <w:szCs w:val="21"/>
                <w:highlight w:val="none"/>
              </w:rPr>
              <w:t>1/500</w:t>
            </w:r>
            <w:r>
              <w:rPr>
                <w:rFonts w:hint="eastAsia" w:ascii="宋体" w:hAnsi="宋体"/>
                <w:szCs w:val="21"/>
                <w:highlight w:val="none"/>
              </w:rPr>
              <w:t>）电子版及区域位置图</w:t>
            </w:r>
          </w:p>
        </w:tc>
        <w:tc>
          <w:tcPr>
            <w:tcW w:w="1701" w:type="dxa"/>
          </w:tcPr>
          <w:p w14:paraId="328B4F2C">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256914F1">
            <w:pPr>
              <w:snapToGrid w:val="0"/>
              <w:spacing w:line="360" w:lineRule="auto"/>
              <w:jc w:val="left"/>
              <w:rPr>
                <w:rFonts w:ascii="宋体"/>
                <w:szCs w:val="21"/>
                <w:highlight w:val="none"/>
              </w:rPr>
            </w:pPr>
          </w:p>
        </w:tc>
      </w:tr>
      <w:tr w14:paraId="1972F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1BAF8CB9">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8B660BC">
            <w:pPr>
              <w:snapToGrid w:val="0"/>
              <w:spacing w:line="360" w:lineRule="auto"/>
              <w:jc w:val="left"/>
              <w:rPr>
                <w:rFonts w:ascii="宋体"/>
                <w:szCs w:val="21"/>
                <w:highlight w:val="none"/>
              </w:rPr>
            </w:pPr>
            <w:r>
              <w:rPr>
                <w:rFonts w:hint="eastAsia" w:ascii="宋体" w:hAnsi="宋体"/>
                <w:szCs w:val="21"/>
                <w:highlight w:val="none"/>
              </w:rPr>
              <w:t>初步设计确认单</w:t>
            </w:r>
          </w:p>
        </w:tc>
        <w:tc>
          <w:tcPr>
            <w:tcW w:w="1701" w:type="dxa"/>
          </w:tcPr>
          <w:p w14:paraId="47A9E9BB">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5C78982D">
            <w:pPr>
              <w:snapToGrid w:val="0"/>
              <w:spacing w:line="360" w:lineRule="auto"/>
              <w:jc w:val="left"/>
              <w:rPr>
                <w:rFonts w:ascii="宋体"/>
                <w:szCs w:val="21"/>
                <w:highlight w:val="none"/>
              </w:rPr>
            </w:pPr>
          </w:p>
        </w:tc>
      </w:tr>
      <w:tr w14:paraId="6855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69721C0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59A9A7FC">
            <w:pPr>
              <w:snapToGrid w:val="0"/>
              <w:spacing w:line="360" w:lineRule="auto"/>
              <w:jc w:val="left"/>
              <w:rPr>
                <w:rFonts w:ascii="宋体"/>
                <w:szCs w:val="21"/>
                <w:highlight w:val="none"/>
              </w:rPr>
            </w:pPr>
            <w:r>
              <w:rPr>
                <w:rFonts w:hint="eastAsia" w:ascii="宋体" w:hAnsi="宋体"/>
                <w:szCs w:val="21"/>
                <w:highlight w:val="none"/>
              </w:rPr>
              <w:t>施工图审查合格意见书</w:t>
            </w:r>
          </w:p>
        </w:tc>
        <w:tc>
          <w:tcPr>
            <w:tcW w:w="1701" w:type="dxa"/>
          </w:tcPr>
          <w:p w14:paraId="5C9E42EA">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E79F914">
            <w:pPr>
              <w:snapToGrid w:val="0"/>
              <w:spacing w:line="360" w:lineRule="auto"/>
              <w:jc w:val="left"/>
              <w:rPr>
                <w:rFonts w:ascii="宋体"/>
                <w:szCs w:val="21"/>
                <w:highlight w:val="none"/>
              </w:rPr>
            </w:pPr>
          </w:p>
        </w:tc>
      </w:tr>
      <w:tr w14:paraId="704A5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2AA81EBC">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EAFD297">
            <w:pPr>
              <w:snapToGrid w:val="0"/>
              <w:spacing w:line="360" w:lineRule="auto"/>
              <w:jc w:val="left"/>
              <w:rPr>
                <w:rFonts w:ascii="宋体"/>
                <w:szCs w:val="21"/>
                <w:highlight w:val="none"/>
              </w:rPr>
            </w:pPr>
            <w:r>
              <w:rPr>
                <w:rFonts w:hint="eastAsia" w:ascii="宋体" w:hAnsi="宋体"/>
                <w:szCs w:val="21"/>
                <w:highlight w:val="none"/>
              </w:rPr>
              <w:t>市政条件（包括给排水、暖通、电力、道路、热力、通讯等）</w:t>
            </w:r>
          </w:p>
        </w:tc>
        <w:tc>
          <w:tcPr>
            <w:tcW w:w="1701" w:type="dxa"/>
          </w:tcPr>
          <w:p w14:paraId="0A2E987E">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89CBEA4">
            <w:pPr>
              <w:snapToGrid w:val="0"/>
              <w:spacing w:line="360" w:lineRule="auto"/>
              <w:jc w:val="left"/>
              <w:rPr>
                <w:rFonts w:ascii="宋体"/>
                <w:szCs w:val="21"/>
                <w:highlight w:val="none"/>
              </w:rPr>
            </w:pPr>
          </w:p>
        </w:tc>
      </w:tr>
      <w:tr w14:paraId="7037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6F974B71">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1A362677">
            <w:pPr>
              <w:snapToGrid w:val="0"/>
              <w:spacing w:line="360" w:lineRule="auto"/>
              <w:jc w:val="left"/>
              <w:rPr>
                <w:rFonts w:ascii="宋体"/>
                <w:szCs w:val="21"/>
                <w:highlight w:val="none"/>
              </w:rPr>
            </w:pPr>
            <w:r>
              <w:rPr>
                <w:rFonts w:hint="eastAsia" w:ascii="宋体" w:hAnsi="宋体"/>
                <w:szCs w:val="21"/>
                <w:highlight w:val="none"/>
              </w:rPr>
              <w:t>其它设计资料</w:t>
            </w:r>
          </w:p>
        </w:tc>
        <w:tc>
          <w:tcPr>
            <w:tcW w:w="1701" w:type="dxa"/>
          </w:tcPr>
          <w:p w14:paraId="2A6E52D0">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656BB626">
            <w:pPr>
              <w:snapToGrid w:val="0"/>
              <w:spacing w:line="360" w:lineRule="auto"/>
              <w:jc w:val="left"/>
              <w:rPr>
                <w:rFonts w:ascii="宋体"/>
                <w:szCs w:val="21"/>
                <w:highlight w:val="none"/>
              </w:rPr>
            </w:pPr>
          </w:p>
        </w:tc>
      </w:tr>
      <w:tr w14:paraId="7A15C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25C10A98">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79C02C47">
            <w:pPr>
              <w:snapToGrid w:val="0"/>
              <w:spacing w:line="360" w:lineRule="auto"/>
              <w:jc w:val="left"/>
              <w:rPr>
                <w:rFonts w:ascii="宋体"/>
                <w:szCs w:val="21"/>
                <w:highlight w:val="none"/>
              </w:rPr>
            </w:pPr>
            <w:r>
              <w:rPr>
                <w:rFonts w:hint="eastAsia" w:ascii="宋体" w:hAnsi="宋体"/>
                <w:szCs w:val="21"/>
                <w:highlight w:val="none"/>
              </w:rPr>
              <w:t>竣工验收报告</w:t>
            </w:r>
          </w:p>
        </w:tc>
        <w:tc>
          <w:tcPr>
            <w:tcW w:w="1701" w:type="dxa"/>
          </w:tcPr>
          <w:p w14:paraId="5C6F8F6F">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EDE880A">
            <w:pPr>
              <w:snapToGrid w:val="0"/>
              <w:spacing w:line="360" w:lineRule="auto"/>
              <w:jc w:val="left"/>
              <w:rPr>
                <w:rFonts w:ascii="宋体"/>
                <w:szCs w:val="21"/>
                <w:highlight w:val="none"/>
              </w:rPr>
            </w:pPr>
          </w:p>
        </w:tc>
      </w:tr>
    </w:tbl>
    <w:p w14:paraId="30332A8D">
      <w:pPr>
        <w:tabs>
          <w:tab w:val="left" w:pos="7200"/>
        </w:tabs>
        <w:snapToGrid w:val="0"/>
        <w:spacing w:line="360" w:lineRule="auto"/>
        <w:ind w:firstLine="420" w:firstLineChars="200"/>
        <w:jc w:val="left"/>
        <w:rPr>
          <w:rFonts w:ascii="宋体"/>
          <w:szCs w:val="21"/>
          <w:highlight w:val="none"/>
        </w:rPr>
      </w:pPr>
      <w:r>
        <w:rPr>
          <w:rFonts w:hint="eastAsia" w:ascii="宋体" w:hAnsi="宋体"/>
          <w:szCs w:val="21"/>
          <w:highlight w:val="none"/>
        </w:rPr>
        <w:t>（上表内容仅供参考，委托人和受托人应当根据项目具体情况详细列举）</w:t>
      </w:r>
    </w:p>
    <w:p w14:paraId="35F43AD1">
      <w:pPr>
        <w:spacing w:line="360" w:lineRule="auto"/>
        <w:jc w:val="left"/>
        <w:outlineLvl w:val="3"/>
        <w:rPr>
          <w:rFonts w:hint="eastAsia" w:ascii="宋体" w:hAnsi="宋体"/>
          <w:b/>
          <w:bCs/>
          <w:sz w:val="24"/>
          <w:highlight w:val="none"/>
        </w:rPr>
      </w:pPr>
      <w:bookmarkStart w:id="332" w:name="_Toc527955037"/>
    </w:p>
    <w:p w14:paraId="7581245C">
      <w:pPr>
        <w:spacing w:line="360" w:lineRule="auto"/>
        <w:jc w:val="left"/>
        <w:outlineLvl w:val="3"/>
        <w:rPr>
          <w:rFonts w:hint="eastAsia" w:ascii="宋体" w:hAnsi="宋体"/>
          <w:b/>
          <w:bCs/>
          <w:sz w:val="24"/>
          <w:highlight w:val="none"/>
        </w:rPr>
      </w:pPr>
    </w:p>
    <w:bookmarkEnd w:id="332"/>
    <w:p w14:paraId="765CE5B7">
      <w:pPr>
        <w:tabs>
          <w:tab w:val="left" w:pos="7200"/>
        </w:tabs>
        <w:snapToGrid w:val="0"/>
        <w:spacing w:line="360" w:lineRule="auto"/>
        <w:ind w:firstLine="420" w:firstLineChars="200"/>
        <w:jc w:val="left"/>
        <w:rPr>
          <w:rFonts w:ascii="宋体"/>
          <w:szCs w:val="21"/>
          <w:highlight w:val="none"/>
        </w:rPr>
      </w:pPr>
    </w:p>
    <w:p w14:paraId="3727CD8F">
      <w:pPr>
        <w:snapToGrid w:val="0"/>
        <w:spacing w:line="360" w:lineRule="auto"/>
        <w:jc w:val="left"/>
        <w:rPr>
          <w:rFonts w:ascii="宋体"/>
          <w:szCs w:val="21"/>
          <w:highlight w:val="none"/>
        </w:rPr>
        <w:sectPr>
          <w:footerReference r:id="rId12" w:type="default"/>
          <w:pgSz w:w="11906" w:h="16838"/>
          <w:pgMar w:top="1418" w:right="1418" w:bottom="1418" w:left="1474" w:header="851" w:footer="992" w:gutter="0"/>
          <w:pgNumType w:fmt="numberInDash" w:start="43"/>
          <w:cols w:space="720" w:num="1"/>
          <w:docGrid w:type="lines" w:linePitch="286" w:charSpace="0"/>
        </w:sectPr>
      </w:pPr>
    </w:p>
    <w:p w14:paraId="54753BA3">
      <w:pPr>
        <w:spacing w:line="360" w:lineRule="auto"/>
        <w:jc w:val="left"/>
        <w:outlineLvl w:val="3"/>
        <w:rPr>
          <w:rFonts w:ascii="宋体"/>
          <w:b/>
          <w:bCs/>
          <w:sz w:val="28"/>
          <w:highlight w:val="none"/>
        </w:rPr>
      </w:pPr>
      <w:bookmarkStart w:id="333" w:name="_Toc527955040"/>
      <w:bookmarkStart w:id="334" w:name="_Toc522389780"/>
      <w:bookmarkStart w:id="335" w:name="_Toc478373451"/>
      <w:bookmarkStart w:id="336" w:name="_Toc478380056"/>
      <w:bookmarkStart w:id="337" w:name="_Toc509302691"/>
      <w:bookmarkStart w:id="338" w:name="_Toc521351601"/>
      <w:r>
        <w:rPr>
          <w:rFonts w:hint="eastAsia" w:ascii="宋体" w:hAnsi="宋体"/>
          <w:b/>
          <w:bCs/>
          <w:sz w:val="28"/>
          <w:highlight w:val="none"/>
        </w:rPr>
        <w:t>技术要求</w:t>
      </w:r>
      <w:r>
        <w:rPr>
          <w:rFonts w:ascii="宋体" w:hAnsi="宋体"/>
          <w:b/>
          <w:bCs/>
          <w:sz w:val="28"/>
          <w:highlight w:val="none"/>
        </w:rPr>
        <w:t>C</w:t>
      </w:r>
      <w:r>
        <w:rPr>
          <w:rFonts w:hint="eastAsia" w:ascii="宋体" w:hAnsi="宋体"/>
          <w:b/>
          <w:bCs/>
          <w:sz w:val="28"/>
          <w:highlight w:val="none"/>
        </w:rPr>
        <w:t>：工程监理</w:t>
      </w:r>
    </w:p>
    <w:p w14:paraId="307DAF63">
      <w:pPr>
        <w:spacing w:line="360" w:lineRule="auto"/>
        <w:jc w:val="left"/>
        <w:outlineLvl w:val="3"/>
        <w:rPr>
          <w:rFonts w:ascii="宋体" w:cs="宋体"/>
          <w:b/>
          <w:szCs w:val="21"/>
          <w:highlight w:val="none"/>
        </w:rPr>
      </w:pPr>
      <w:r>
        <w:rPr>
          <w:rFonts w:ascii="宋体" w:hAnsi="宋体" w:cs="宋体"/>
          <w:b/>
          <w:szCs w:val="21"/>
          <w:highlight w:val="none"/>
        </w:rPr>
        <w:t xml:space="preserve">1. </w:t>
      </w:r>
      <w:r>
        <w:rPr>
          <w:rFonts w:hint="eastAsia" w:ascii="宋体" w:hAnsi="宋体" w:cs="宋体"/>
          <w:b/>
          <w:szCs w:val="21"/>
          <w:highlight w:val="none"/>
        </w:rPr>
        <w:t>受托人的义务</w:t>
      </w:r>
      <w:bookmarkEnd w:id="333"/>
      <w:bookmarkEnd w:id="334"/>
      <w:bookmarkEnd w:id="335"/>
      <w:bookmarkEnd w:id="336"/>
      <w:bookmarkEnd w:id="337"/>
      <w:bookmarkEnd w:id="338"/>
    </w:p>
    <w:p w14:paraId="60BE3444">
      <w:pPr>
        <w:adjustRightInd w:val="0"/>
        <w:snapToGrid w:val="0"/>
        <w:spacing w:line="360" w:lineRule="auto"/>
        <w:ind w:left="210" w:leftChars="100"/>
        <w:jc w:val="left"/>
        <w:rPr>
          <w:rFonts w:ascii="宋体" w:cs="宋体"/>
          <w:bCs/>
          <w:szCs w:val="21"/>
          <w:highlight w:val="none"/>
        </w:rPr>
      </w:pPr>
      <w:r>
        <w:rPr>
          <w:rFonts w:ascii="宋体" w:hAnsi="宋体" w:cs="宋体"/>
          <w:szCs w:val="21"/>
          <w:highlight w:val="none"/>
        </w:rPr>
        <w:t xml:space="preserve">1.1 </w:t>
      </w:r>
      <w:r>
        <w:rPr>
          <w:rFonts w:hint="eastAsia" w:ascii="宋体" w:hAnsi="宋体" w:cs="宋体"/>
          <w:szCs w:val="21"/>
          <w:highlight w:val="none"/>
        </w:rPr>
        <w:t>监理的范围和工作要求</w:t>
      </w:r>
    </w:p>
    <w:p w14:paraId="7BE80398">
      <w:pPr>
        <w:adjustRightInd w:val="0"/>
        <w:snapToGrid w:val="0"/>
        <w:spacing w:line="360" w:lineRule="auto"/>
        <w:ind w:left="420" w:leftChars="200"/>
        <w:jc w:val="left"/>
        <w:rPr>
          <w:rFonts w:ascii="宋体" w:cs="宋体"/>
          <w:szCs w:val="21"/>
          <w:highlight w:val="none"/>
        </w:rPr>
      </w:pPr>
      <w:r>
        <w:rPr>
          <w:rFonts w:ascii="宋体" w:hAnsi="宋体" w:cs="宋体"/>
          <w:szCs w:val="21"/>
          <w:highlight w:val="none"/>
        </w:rPr>
        <w:t xml:space="preserve">1.1.1 </w:t>
      </w:r>
      <w:r>
        <w:rPr>
          <w:rFonts w:hint="eastAsia" w:ascii="宋体" w:hAnsi="宋体" w:cs="宋体"/>
          <w:szCs w:val="21"/>
          <w:highlight w:val="none"/>
        </w:rPr>
        <w:t>监理范围包括：</w:t>
      </w:r>
      <w:r>
        <w:rPr>
          <w:rFonts w:hint="eastAsia"/>
          <w:highlight w:val="none"/>
          <w:u w:val="single"/>
        </w:rPr>
        <w:t>本工程施工阶段及保修阶段全过程监理，包括对工程进行进度、质量、投资、安全四控制，合同管理、信息管理，协调施工现场各方面关系。工程施工图设计阶段、施工准备阶段，施工阶段、竣工阶段等全过程监理，协助业主办理图纸审查和各项报批工作，对工程质量、进度、投资、安全四大控制和合同管理、信息管理、安全生产管理、文明施工管理、对工程竣工结算的初步审查、组织协调施工现场各方关系</w:t>
      </w:r>
      <w:r>
        <w:rPr>
          <w:highlight w:val="none"/>
          <w:u w:val="single"/>
        </w:rPr>
        <w:t xml:space="preserve">  </w:t>
      </w:r>
      <w:r>
        <w:rPr>
          <w:rFonts w:hint="eastAsia" w:ascii="宋体" w:hAnsi="宋体" w:cs="宋体"/>
          <w:szCs w:val="21"/>
          <w:highlight w:val="none"/>
        </w:rPr>
        <w:t>。（可参考附件</w:t>
      </w:r>
      <w:r>
        <w:rPr>
          <w:rFonts w:ascii="宋体" w:hAnsi="宋体" w:cs="宋体"/>
          <w:szCs w:val="21"/>
          <w:highlight w:val="none"/>
        </w:rPr>
        <w:t>6</w:t>
      </w:r>
      <w:r>
        <w:rPr>
          <w:rFonts w:hint="eastAsia" w:ascii="宋体" w:hAnsi="宋体" w:cs="宋体"/>
          <w:szCs w:val="21"/>
          <w:highlight w:val="none"/>
        </w:rPr>
        <w:t>：工程监理服务清单）</w:t>
      </w:r>
    </w:p>
    <w:p w14:paraId="0EDED7D5">
      <w:pPr>
        <w:adjustRightInd w:val="0"/>
        <w:snapToGrid w:val="0"/>
        <w:spacing w:line="360" w:lineRule="auto"/>
        <w:ind w:left="420" w:leftChars="200"/>
        <w:jc w:val="left"/>
        <w:rPr>
          <w:rFonts w:ascii="宋体" w:cs="宋体"/>
          <w:szCs w:val="21"/>
          <w:highlight w:val="none"/>
          <w:u w:val="single"/>
        </w:rPr>
      </w:pPr>
      <w:r>
        <w:rPr>
          <w:rFonts w:ascii="宋体" w:hAnsi="宋体" w:cs="宋体"/>
          <w:szCs w:val="21"/>
          <w:highlight w:val="none"/>
        </w:rPr>
        <w:t>1.1.2</w:t>
      </w:r>
      <w:r>
        <w:rPr>
          <w:rFonts w:hint="eastAsia" w:ascii="宋体" w:hAnsi="宋体" w:cs="宋体"/>
          <w:szCs w:val="21"/>
          <w:highlight w:val="none"/>
        </w:rPr>
        <w:t>监理工作要求包括：</w:t>
      </w:r>
    </w:p>
    <w:p w14:paraId="160AB25D">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w:t>
      </w:r>
      <w:r>
        <w:rPr>
          <w:rFonts w:hint="eastAsia"/>
          <w:highlight w:val="none"/>
          <w:u w:val="single"/>
        </w:rPr>
        <w:t>）收到工程设计文件后编制监理规划，并在第一次工地会议</w:t>
      </w:r>
      <w:r>
        <w:rPr>
          <w:highlight w:val="none"/>
          <w:u w:val="single"/>
        </w:rPr>
        <w:t>7</w:t>
      </w:r>
      <w:r>
        <w:rPr>
          <w:rFonts w:hint="eastAsia"/>
          <w:highlight w:val="none"/>
          <w:u w:val="single"/>
        </w:rPr>
        <w:t>天前报委托人。根据有关规定和监理工作需要，编制监理实施细则；</w:t>
      </w:r>
    </w:p>
    <w:p w14:paraId="3369652A">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w:t>
      </w:r>
      <w:r>
        <w:rPr>
          <w:rFonts w:hint="eastAsia"/>
          <w:highlight w:val="none"/>
          <w:u w:val="single"/>
        </w:rPr>
        <w:t>）熟悉工程设计文件，并参加由委托人主持的图纸会审和设计交底会议；</w:t>
      </w:r>
    </w:p>
    <w:p w14:paraId="6D5ACBC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3</w:t>
      </w:r>
      <w:r>
        <w:rPr>
          <w:rFonts w:hint="eastAsia"/>
          <w:highlight w:val="none"/>
          <w:u w:val="single"/>
        </w:rPr>
        <w:t>）参加由委托人主持的第一次工地会议；主持监理例会并根据工程需要主持或参加专题会议；</w:t>
      </w:r>
    </w:p>
    <w:p w14:paraId="4F47A09A">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4</w:t>
      </w:r>
      <w:r>
        <w:rPr>
          <w:rFonts w:hint="eastAsia"/>
          <w:highlight w:val="none"/>
          <w:u w:val="single"/>
        </w:rPr>
        <w:t>）审查施工其他参建方提交的施工组织设计，重点审查其中的质量安全技术措施、专项施工方案与工程建设强制性标准的符合性；</w:t>
      </w:r>
    </w:p>
    <w:p w14:paraId="09E90698">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5</w:t>
      </w:r>
      <w:r>
        <w:rPr>
          <w:rFonts w:hint="eastAsia"/>
          <w:highlight w:val="none"/>
          <w:u w:val="single"/>
        </w:rPr>
        <w:t>）检查施工其他参建方工程质量、安全生产管理制度及组织机构和人员资格；</w:t>
      </w:r>
    </w:p>
    <w:p w14:paraId="4BAEB61B">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6</w:t>
      </w:r>
      <w:r>
        <w:rPr>
          <w:rFonts w:hint="eastAsia"/>
          <w:highlight w:val="none"/>
          <w:u w:val="single"/>
        </w:rPr>
        <w:t>）检查施工及其他参建方项目经理、五大员、专职安全生产管理人员及农民工的考勤考核情况；</w:t>
      </w:r>
    </w:p>
    <w:p w14:paraId="088D0F3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7</w:t>
      </w:r>
      <w:r>
        <w:rPr>
          <w:rFonts w:hint="eastAsia"/>
          <w:highlight w:val="none"/>
          <w:u w:val="single"/>
        </w:rPr>
        <w:t>）审查施工其他参建方提交的施工进度计划，核查其他参建方对施工进度计划的调整；</w:t>
      </w:r>
    </w:p>
    <w:p w14:paraId="268C7510">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8</w:t>
      </w:r>
      <w:r>
        <w:rPr>
          <w:rFonts w:hint="eastAsia"/>
          <w:highlight w:val="none"/>
          <w:u w:val="single"/>
        </w:rPr>
        <w:t>）检查施工其他参建方的试验室；</w:t>
      </w:r>
    </w:p>
    <w:p w14:paraId="7573AB5E">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9</w:t>
      </w:r>
      <w:r>
        <w:rPr>
          <w:rFonts w:hint="eastAsia"/>
          <w:highlight w:val="none"/>
          <w:u w:val="single"/>
        </w:rPr>
        <w:t>）审核施工分包人资质条件；</w:t>
      </w:r>
    </w:p>
    <w:p w14:paraId="71823D1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10</w:t>
      </w:r>
      <w:r>
        <w:rPr>
          <w:rFonts w:hint="eastAsia"/>
          <w:highlight w:val="none"/>
          <w:u w:val="single"/>
        </w:rPr>
        <w:t>）查验施工其他参建方的施工测量放线成果；</w:t>
      </w:r>
    </w:p>
    <w:p w14:paraId="2C6DA23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11</w:t>
      </w:r>
      <w:r>
        <w:rPr>
          <w:rFonts w:hint="eastAsia"/>
          <w:highlight w:val="none"/>
          <w:u w:val="single"/>
        </w:rPr>
        <w:t>）审查工程开工条件，对条件具备的签发开工令；</w:t>
      </w:r>
    </w:p>
    <w:p w14:paraId="04F43D19">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12</w:t>
      </w:r>
      <w:r>
        <w:rPr>
          <w:rFonts w:hint="eastAsia"/>
          <w:highlight w:val="none"/>
          <w:u w:val="single"/>
        </w:rPr>
        <w:t>）审查施工及其他参建方报送的工程材料、构配件、设备质量证明文件的有效性和符合性，并按规定对用于工程的材料采取平行检验或见证取样方式进行抽检；</w:t>
      </w:r>
    </w:p>
    <w:p w14:paraId="28D88EE6">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13</w:t>
      </w:r>
      <w:r>
        <w:rPr>
          <w:rFonts w:hint="eastAsia"/>
          <w:highlight w:val="none"/>
          <w:u w:val="single"/>
        </w:rPr>
        <w:t>）审核施工其他参建方提交的工程款支付申请，签发或出具工程款支付证书，并报委托人审核、批准；</w:t>
      </w:r>
    </w:p>
    <w:p w14:paraId="16EEC47B">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14</w:t>
      </w:r>
      <w:r>
        <w:rPr>
          <w:rFonts w:hint="eastAsia"/>
          <w:highlight w:val="none"/>
          <w:u w:val="single"/>
        </w:rPr>
        <w:t>）在巡视、旁站和检验过程中，发现工程质量、施工安全存在事故隐患的，要求施工参建方整改并报委托人；</w:t>
      </w:r>
    </w:p>
    <w:p w14:paraId="60F45BA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15</w:t>
      </w:r>
      <w:r>
        <w:rPr>
          <w:rFonts w:hint="eastAsia"/>
          <w:highlight w:val="none"/>
          <w:u w:val="single"/>
        </w:rPr>
        <w:t>）经委托人同意，签发工程暂停令和复工令；</w:t>
      </w:r>
    </w:p>
    <w:p w14:paraId="196C0B2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16</w:t>
      </w:r>
      <w:r>
        <w:rPr>
          <w:rFonts w:hint="eastAsia"/>
          <w:highlight w:val="none"/>
          <w:u w:val="single"/>
        </w:rPr>
        <w:t>）审查施工其他参建方提交的采用新材料、新工艺、新技术、新设备的论证材料及相关验收标准；</w:t>
      </w:r>
    </w:p>
    <w:p w14:paraId="60F3AA15">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17</w:t>
      </w:r>
      <w:r>
        <w:rPr>
          <w:rFonts w:hint="eastAsia"/>
          <w:highlight w:val="none"/>
          <w:u w:val="single"/>
        </w:rPr>
        <w:t>）验收隐蔽工程、分部分项工程；</w:t>
      </w:r>
    </w:p>
    <w:p w14:paraId="7ED0D13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18</w:t>
      </w:r>
      <w:r>
        <w:rPr>
          <w:rFonts w:hint="eastAsia"/>
          <w:highlight w:val="none"/>
          <w:u w:val="single"/>
        </w:rPr>
        <w:t>）审查施工其他参建方提交的工程变更申请，协调处理施工进度调整、费用索赔、合同争议等事项；</w:t>
      </w:r>
    </w:p>
    <w:p w14:paraId="2BF68F1C">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19</w:t>
      </w:r>
      <w:r>
        <w:rPr>
          <w:rFonts w:hint="eastAsia"/>
          <w:highlight w:val="none"/>
          <w:u w:val="single"/>
        </w:rPr>
        <w:t>）审查施工其他参建方提交的竣工验收申请，编写工程质量评估报告；</w:t>
      </w:r>
    </w:p>
    <w:p w14:paraId="2CDCE922">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20</w:t>
      </w:r>
      <w:r>
        <w:rPr>
          <w:rFonts w:hint="eastAsia"/>
          <w:highlight w:val="none"/>
          <w:u w:val="single"/>
        </w:rPr>
        <w:t>）参加工程竣工验收，签署竣工验收意见；</w:t>
      </w:r>
    </w:p>
    <w:p w14:paraId="31E88D87">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21</w:t>
      </w:r>
      <w:r>
        <w:rPr>
          <w:rFonts w:hint="eastAsia"/>
          <w:highlight w:val="none"/>
          <w:u w:val="single"/>
        </w:rPr>
        <w:t>）审查施工其他参建方提交的竣工结算申请并报委托人；</w:t>
      </w:r>
    </w:p>
    <w:p w14:paraId="418A3528">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22</w:t>
      </w:r>
      <w:r>
        <w:rPr>
          <w:rFonts w:hint="eastAsia"/>
          <w:highlight w:val="none"/>
          <w:u w:val="single"/>
        </w:rPr>
        <w:t>）及时、准确完整收集、整理、编制、传递及汇总监理文件资料，并按规定组卷成册，形成监理档案。</w:t>
      </w:r>
    </w:p>
    <w:p w14:paraId="6E26137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23</w:t>
      </w:r>
      <w:r>
        <w:rPr>
          <w:rFonts w:hint="eastAsia"/>
          <w:highlight w:val="none"/>
          <w:u w:val="single"/>
        </w:rPr>
        <w:t>）监理工作内容还包括：</w:t>
      </w:r>
    </w:p>
    <w:p w14:paraId="45C50D66">
      <w:pPr>
        <w:pStyle w:val="2"/>
        <w:kinsoku w:val="0"/>
        <w:overflowPunct w:val="0"/>
        <w:spacing w:line="360" w:lineRule="auto"/>
        <w:ind w:left="1200"/>
        <w:jc w:val="left"/>
        <w:rPr>
          <w:rFonts w:ascii="Calibri" w:hAnsi="Calibri"/>
          <w:kern w:val="2"/>
          <w:sz w:val="21"/>
          <w:highlight w:val="none"/>
          <w:u w:val="single"/>
        </w:rPr>
      </w:pPr>
      <w:r>
        <w:rPr>
          <w:rFonts w:hint="eastAsia" w:ascii="Calibri" w:hAnsi="Calibri"/>
          <w:kern w:val="2"/>
          <w:sz w:val="21"/>
          <w:highlight w:val="none"/>
          <w:u w:val="single"/>
        </w:rPr>
        <w:t>（一）设计方面：</w:t>
      </w:r>
    </w:p>
    <w:p w14:paraId="1981124F">
      <w:pPr>
        <w:pStyle w:val="2"/>
        <w:kinsoku w:val="0"/>
        <w:overflowPunct w:val="0"/>
        <w:spacing w:line="360" w:lineRule="auto"/>
        <w:ind w:right="1106" w:firstLine="1260" w:firstLineChars="60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、配合委托人在施工前组织的设计审查，对工程设计方案、技术要求、图纸、工程量清单、控制价编制等提出合理优化建议，对施工标涉及的重大难点问题提出明确建议及要求。</w:t>
      </w:r>
    </w:p>
    <w:p w14:paraId="07A83200">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、核查并签发施工蓝图，发现无施工蓝图问题向委托人反映，重大问题向委托人做专题报告。</w:t>
      </w:r>
    </w:p>
    <w:p w14:paraId="4FBD3DB0">
      <w:pPr>
        <w:pStyle w:val="2"/>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、主持或与委托人联合主持设计技术交底会议，编写会议纪要。</w:t>
      </w:r>
    </w:p>
    <w:p w14:paraId="22D9B74C">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、协助委托人会同设计人对重大技术问题和优化设计进行专题讨论。</w:t>
      </w:r>
    </w:p>
    <w:p w14:paraId="2D454E1E">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、审核承包人对施工图的意见和建议，协助委托人会同设计人进行研究。</w:t>
      </w:r>
    </w:p>
    <w:p w14:paraId="66D7B042">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、提出合理的优化设计方案。</w:t>
      </w:r>
    </w:p>
    <w:p w14:paraId="2346A8BD">
      <w:pPr>
        <w:pStyle w:val="2"/>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、其他相关业务。</w:t>
      </w:r>
    </w:p>
    <w:p w14:paraId="49A069DD">
      <w:pPr>
        <w:pStyle w:val="2"/>
        <w:kinsoku w:val="0"/>
        <w:overflowPunct w:val="0"/>
        <w:spacing w:line="360" w:lineRule="auto"/>
        <w:ind w:firstLine="1260" w:firstLineChars="600"/>
        <w:jc w:val="left"/>
        <w:rPr>
          <w:rFonts w:ascii="Calibri" w:hAnsi="Calibri"/>
          <w:kern w:val="2"/>
          <w:sz w:val="21"/>
          <w:highlight w:val="none"/>
          <w:u w:val="single"/>
        </w:rPr>
      </w:pPr>
      <w:r>
        <w:rPr>
          <w:rFonts w:hint="eastAsia" w:ascii="Calibri" w:hAnsi="Calibri"/>
          <w:kern w:val="2"/>
          <w:sz w:val="21"/>
          <w:highlight w:val="none"/>
          <w:u w:val="single"/>
        </w:rPr>
        <w:t>（二）采购方面：</w:t>
      </w:r>
    </w:p>
    <w:p w14:paraId="45FDA6F6">
      <w:pPr>
        <w:pStyle w:val="2"/>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、协助委托人进行采购招标。</w:t>
      </w:r>
    </w:p>
    <w:p w14:paraId="2EFB0F9F">
      <w:pPr>
        <w:pStyle w:val="2"/>
        <w:kinsoku w:val="0"/>
        <w:overflowPunct w:val="0"/>
        <w:spacing w:line="360" w:lineRule="auto"/>
        <w:ind w:right="1109" w:firstLine="1260" w:firstLineChars="6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、审批承包人采购的材料和工程设备的供货人及品种、规格、数量和供货时间等。加强对各类砂石、土工等原材料进场质量监管，确保符合质量标准。</w:t>
      </w:r>
    </w:p>
    <w:p w14:paraId="578A434A">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、对在制造过程中的监造设备进行质量、进度、付款监督控制。</w:t>
      </w:r>
    </w:p>
    <w:p w14:paraId="4CD0D242">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、审核监造设备制造过程中的试验与检验大纲和方案。</w:t>
      </w:r>
    </w:p>
    <w:p w14:paraId="7B64AFA1">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、参加监造设备制造过程的试验与检验。</w:t>
      </w:r>
    </w:p>
    <w:p w14:paraId="60B2ADD9">
      <w:pPr>
        <w:pStyle w:val="2"/>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、协助委托人对进场的永久工程设备进行质量检验与到货验收。</w:t>
      </w:r>
    </w:p>
    <w:p w14:paraId="20DA84AD">
      <w:pPr>
        <w:pStyle w:val="2"/>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、协助委托人负责项目部分材料、设备的任质核价工作。</w:t>
      </w:r>
    </w:p>
    <w:p w14:paraId="7A2092AC">
      <w:pPr>
        <w:pStyle w:val="2"/>
        <w:kinsoku w:val="0"/>
        <w:overflowPunct w:val="0"/>
        <w:spacing w:line="360" w:lineRule="auto"/>
        <w:ind w:firstLine="1260" w:firstLineChars="600"/>
        <w:jc w:val="left"/>
        <w:rPr>
          <w:rFonts w:ascii="Calibri" w:hAnsi="Calibri"/>
          <w:kern w:val="2"/>
          <w:sz w:val="21"/>
          <w:highlight w:val="none"/>
          <w:u w:val="single"/>
        </w:rPr>
      </w:pPr>
      <w:r>
        <w:rPr>
          <w:rFonts w:hint="eastAsia" w:ascii="Calibri" w:hAnsi="Calibri"/>
          <w:kern w:val="2"/>
          <w:sz w:val="21"/>
          <w:highlight w:val="none"/>
          <w:u w:val="single"/>
        </w:rPr>
        <w:t>8、其他相关业务。</w:t>
      </w:r>
    </w:p>
    <w:p w14:paraId="15CA2F73">
      <w:pPr>
        <w:pStyle w:val="2"/>
        <w:kinsoku w:val="0"/>
        <w:overflowPunct w:val="0"/>
        <w:spacing w:before="41"/>
        <w:ind w:left="1200"/>
        <w:jc w:val="left"/>
        <w:rPr>
          <w:rFonts w:ascii="Calibri" w:hAnsi="Calibri"/>
          <w:kern w:val="2"/>
          <w:sz w:val="21"/>
          <w:highlight w:val="none"/>
          <w:u w:val="single"/>
        </w:rPr>
      </w:pPr>
      <w:r>
        <w:rPr>
          <w:rFonts w:hint="eastAsia" w:ascii="Calibri" w:hAnsi="Calibri"/>
          <w:kern w:val="2"/>
          <w:sz w:val="21"/>
          <w:highlight w:val="none"/>
          <w:u w:val="single"/>
        </w:rPr>
        <w:t>（三）施工方面：</w:t>
      </w:r>
    </w:p>
    <w:p w14:paraId="088B14C4">
      <w:pPr>
        <w:pStyle w:val="2"/>
        <w:kinsoku w:val="0"/>
        <w:overflowPunct w:val="0"/>
        <w:spacing w:before="7"/>
        <w:jc w:val="left"/>
        <w:rPr>
          <w:rFonts w:ascii="Calibri" w:hAnsi="Calibri"/>
          <w:kern w:val="2"/>
          <w:sz w:val="21"/>
          <w:highlight w:val="none"/>
          <w:u w:val="single"/>
        </w:rPr>
      </w:pPr>
    </w:p>
    <w:p w14:paraId="5AA84957">
      <w:pPr>
        <w:pStyle w:val="2"/>
        <w:kinsoku w:val="0"/>
        <w:overflowPunct w:val="0"/>
        <w:ind w:left="126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、协助委托人进行工程施工招标和签订工程施工合同。</w:t>
      </w:r>
    </w:p>
    <w:p w14:paraId="051279E8">
      <w:pPr>
        <w:pStyle w:val="2"/>
        <w:kinsoku w:val="0"/>
        <w:overflowPunct w:val="0"/>
        <w:spacing w:before="7"/>
        <w:jc w:val="left"/>
        <w:rPr>
          <w:rFonts w:ascii="Calibri" w:hAnsi="Calibri"/>
          <w:kern w:val="2"/>
          <w:sz w:val="21"/>
          <w:highlight w:val="none"/>
          <w:u w:val="single"/>
        </w:rPr>
      </w:pPr>
    </w:p>
    <w:p w14:paraId="30DB70F4">
      <w:pPr>
        <w:pStyle w:val="2"/>
        <w:kinsoku w:val="0"/>
        <w:overflowPunct w:val="0"/>
        <w:ind w:left="126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、全面管理工程施工合同，审查承包人选择的分包单位，并报委托人批准。</w:t>
      </w:r>
    </w:p>
    <w:p w14:paraId="6D8918E7">
      <w:pPr>
        <w:pStyle w:val="2"/>
        <w:kinsoku w:val="0"/>
        <w:overflowPunct w:val="0"/>
        <w:spacing w:before="6"/>
        <w:jc w:val="left"/>
        <w:rPr>
          <w:rFonts w:ascii="Calibri" w:hAnsi="Calibri"/>
          <w:kern w:val="2"/>
          <w:sz w:val="21"/>
          <w:highlight w:val="none"/>
          <w:u w:val="single"/>
        </w:rPr>
      </w:pPr>
    </w:p>
    <w:p w14:paraId="3F8D5512">
      <w:pPr>
        <w:pStyle w:val="2"/>
        <w:kinsoku w:val="0"/>
        <w:overflowPunct w:val="0"/>
        <w:spacing w:before="1" w:line="417" w:lineRule="auto"/>
        <w:ind w:left="780" w:right="111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、督促委托人按工程施工合同的约定，落实必须提供的施工条件；检查承包人的开工准备工作。</w:t>
      </w:r>
    </w:p>
    <w:p w14:paraId="2C0576D2">
      <w:pPr>
        <w:pStyle w:val="2"/>
        <w:kinsoku w:val="0"/>
        <w:overflowPunct w:val="0"/>
        <w:spacing w:line="269" w:lineRule="exact"/>
        <w:ind w:left="126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、审核按工程施工合同文件约定应由承包人提交的设计文件。</w:t>
      </w:r>
    </w:p>
    <w:p w14:paraId="68AC239D">
      <w:pPr>
        <w:pStyle w:val="2"/>
        <w:kinsoku w:val="0"/>
        <w:overflowPunct w:val="0"/>
        <w:spacing w:before="6"/>
        <w:jc w:val="left"/>
        <w:rPr>
          <w:rFonts w:ascii="Calibri" w:hAnsi="Calibri"/>
          <w:kern w:val="2"/>
          <w:sz w:val="21"/>
          <w:highlight w:val="none"/>
          <w:u w:val="single"/>
        </w:rPr>
      </w:pPr>
    </w:p>
    <w:p w14:paraId="2EDF2942">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审查委托人提交的施工进度计划、施工措施计划；审核工艺试验成果等；对委托人提交的施工组织设计及专项施工方案严格对照水利工程施工技术规范、公路桥涵施工技术规范、公路工程施工安全技术规范等规程规范及国家强制性标准要求组织审查，对与投标施工组织设计严重不符或有重大调整的须提交审查意见，并报委托人审查。</w:t>
      </w:r>
    </w:p>
    <w:p w14:paraId="423EA00B">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进度控制。协助委托人编制控制性总进度计划，审批承包人编制的进度计划；检查实施情况，督促承包人采取措施，实现合同工期目标。当实施进度发生较大偏差时，要求承包人调整进度计划；向委托人提出调整控制性进度计划的建议意见。</w:t>
      </w:r>
    </w:p>
    <w:p w14:paraId="778EA261">
      <w:pPr>
        <w:pStyle w:val="2"/>
        <w:kinsoku w:val="0"/>
        <w:overflowPunct w:val="0"/>
        <w:spacing w:line="417" w:lineRule="auto"/>
        <w:ind w:left="780" w:right="1001"/>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、施工质量控制。审查承包人的质量保证体系和措施；审查承包人的试验室条件；</w:t>
      </w:r>
      <w:r>
        <w:rPr>
          <w:rFonts w:ascii="Calibri" w:hAnsi="Calibri"/>
          <w:kern w:val="2"/>
          <w:sz w:val="21"/>
          <w:highlight w:val="none"/>
          <w:u w:val="single"/>
        </w:rPr>
        <w:t xml:space="preserve"> </w:t>
      </w:r>
      <w:r>
        <w:rPr>
          <w:rFonts w:hint="eastAsia" w:ascii="Calibri" w:hAnsi="Calibri"/>
          <w:kern w:val="2"/>
          <w:sz w:val="21"/>
          <w:highlight w:val="none"/>
          <w:u w:val="single"/>
        </w:rPr>
        <w:t>依据工程施工合同文件、设计文件、技术标准，对施工全过程进行检查，对重要部位、关键工序进行旁站监理；按照有关规定，对承包人进场的工程设备、建筑材料、建筑构配件、中间产品进行跟踪检测和平行检测，复核承包人自评的工程质量等级；审核承包人提出的工程质量缺陷处理方案，参与调查质量事故。</w:t>
      </w:r>
    </w:p>
    <w:p w14:paraId="35F86205">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8</w:t>
      </w:r>
      <w:r>
        <w:rPr>
          <w:rFonts w:hint="eastAsia" w:ascii="Calibri" w:hAnsi="Calibri"/>
          <w:kern w:val="2"/>
          <w:sz w:val="21"/>
          <w:highlight w:val="none"/>
          <w:u w:val="single"/>
        </w:rPr>
        <w:t>、资金控制。协助委托人编制付款计划；审查承包人提交的资金流计划；核定承包人完成的工程量，审核承包人提交的支付申请，签发付款凭证；受理索赔申请，提出处理建议意见；处理工程变更。</w:t>
      </w:r>
    </w:p>
    <w:p w14:paraId="14D51A2F">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9</w:t>
      </w:r>
      <w:r>
        <w:rPr>
          <w:rFonts w:hint="eastAsia" w:ascii="Calibri" w:hAnsi="Calibri"/>
          <w:kern w:val="2"/>
          <w:sz w:val="21"/>
          <w:highlight w:val="none"/>
          <w:u w:val="single"/>
        </w:rPr>
        <w:t>、施工安全控制。审查承包人提出的安全技术措施、专项施工方案，并检查实施情况；检查防洪度汛措施落实情况；参与安全事故调查；按要求做好监理安全教育和培训工作，做好监理安全防范，形成本标段安全文化，确保不出现重大安全责任事故，如出现乙方应承担管理责任。</w:t>
      </w:r>
    </w:p>
    <w:p w14:paraId="4E5A31AC">
      <w:pPr>
        <w:pStyle w:val="2"/>
        <w:kinsoku w:val="0"/>
        <w:overflowPunct w:val="0"/>
        <w:spacing w:line="268" w:lineRule="exact"/>
        <w:ind w:left="1260"/>
        <w:jc w:val="left"/>
        <w:rPr>
          <w:rFonts w:ascii="Calibri" w:hAnsi="Calibri"/>
          <w:kern w:val="2"/>
          <w:sz w:val="21"/>
          <w:highlight w:val="none"/>
          <w:u w:val="single"/>
        </w:rPr>
      </w:pPr>
      <w:r>
        <w:rPr>
          <w:rFonts w:ascii="Calibri" w:hAnsi="Calibri"/>
          <w:kern w:val="2"/>
          <w:sz w:val="21"/>
          <w:highlight w:val="none"/>
          <w:u w:val="single"/>
        </w:rPr>
        <w:t>10</w:t>
      </w:r>
      <w:r>
        <w:rPr>
          <w:rFonts w:hint="eastAsia" w:ascii="Calibri" w:hAnsi="Calibri"/>
          <w:kern w:val="2"/>
          <w:sz w:val="21"/>
          <w:highlight w:val="none"/>
          <w:u w:val="single"/>
        </w:rPr>
        <w:t>、协调施工合同各方之间的关系。</w:t>
      </w:r>
    </w:p>
    <w:p w14:paraId="753080F4">
      <w:pPr>
        <w:pStyle w:val="2"/>
        <w:kinsoku w:val="0"/>
        <w:overflowPunct w:val="0"/>
        <w:spacing w:before="6"/>
        <w:jc w:val="left"/>
        <w:rPr>
          <w:rFonts w:ascii="Calibri" w:hAnsi="Calibri"/>
          <w:kern w:val="2"/>
          <w:sz w:val="21"/>
          <w:highlight w:val="none"/>
          <w:u w:val="single"/>
        </w:rPr>
      </w:pPr>
    </w:p>
    <w:p w14:paraId="60CFF8F0">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11</w:t>
      </w:r>
      <w:r>
        <w:rPr>
          <w:rFonts w:hint="eastAsia" w:ascii="Calibri" w:hAnsi="Calibri"/>
          <w:kern w:val="2"/>
          <w:sz w:val="21"/>
          <w:highlight w:val="none"/>
          <w:u w:val="single"/>
        </w:rPr>
        <w:t>、按有关规定参加工程验收，负责完成监理资料的汇总、整理，协助委托人检查承包人的合同执行情况；做好验收的各项准备工作或者配合工作，提供工程监理资料，提交监理工作报告。</w:t>
      </w:r>
    </w:p>
    <w:p w14:paraId="258E0966">
      <w:pPr>
        <w:pStyle w:val="2"/>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12</w:t>
      </w:r>
      <w:r>
        <w:rPr>
          <w:rFonts w:hint="eastAsia" w:ascii="Calibri" w:hAnsi="Calibri"/>
          <w:kern w:val="2"/>
          <w:sz w:val="21"/>
          <w:highlight w:val="none"/>
          <w:u w:val="single"/>
        </w:rPr>
        <w:t>、档案管理。做好施工现场的监理记录与信息反馈，做好监理文档管理工作，合同期限届满时按照档案管理要求整理、归档并移交委托人。</w:t>
      </w:r>
    </w:p>
    <w:p w14:paraId="550B4B58">
      <w:pPr>
        <w:pStyle w:val="2"/>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13</w:t>
      </w:r>
      <w:r>
        <w:rPr>
          <w:rFonts w:hint="eastAsia" w:ascii="Calibri" w:hAnsi="Calibri"/>
          <w:kern w:val="2"/>
          <w:sz w:val="21"/>
          <w:highlight w:val="none"/>
          <w:u w:val="single"/>
        </w:rPr>
        <w:t>、监督承包人执行保修期工作计划，检查和验收尾工项目，对已移交工程中出现的质量缺陷等调查原因并提出处理意见。</w:t>
      </w:r>
    </w:p>
    <w:p w14:paraId="2D565F23">
      <w:pPr>
        <w:pStyle w:val="2"/>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14</w:t>
      </w:r>
      <w:r>
        <w:rPr>
          <w:rFonts w:hint="eastAsia" w:ascii="Calibri" w:hAnsi="Calibri"/>
          <w:kern w:val="2"/>
          <w:sz w:val="21"/>
          <w:highlight w:val="none"/>
          <w:u w:val="single"/>
        </w:rPr>
        <w:t>、按照委托人签订的工程保险合同，做好施工现场工程保险合同的管理。协助委托人向保险公司及时提供一切必要的材料和证据。</w:t>
      </w:r>
    </w:p>
    <w:p w14:paraId="658C9854">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15</w:t>
      </w:r>
      <w:r>
        <w:rPr>
          <w:rFonts w:hint="eastAsia" w:ascii="Calibri" w:hAnsi="Calibri"/>
          <w:kern w:val="2"/>
          <w:sz w:val="21"/>
          <w:highlight w:val="none"/>
          <w:u w:val="single"/>
        </w:rPr>
        <w:t>、督促施工项目部加强对农民工使用的统计，并进行核查；认真检查施工项目部与劳务公司签订的劳务合同、劳务公司与农民工之间签订劳动合同情况，督促施工项目部将劳务合同和劳动合同报监理及委托人备案；加强合同管理，将农民工工资支付情况纳入监理日志内容，督促施工项目部按时足额支付农民工工资。按月向委托人报送相关监理检查</w:t>
      </w:r>
    </w:p>
    <w:p w14:paraId="5DBCCDD1">
      <w:pPr>
        <w:pStyle w:val="2"/>
        <w:kinsoku w:val="0"/>
        <w:overflowPunct w:val="0"/>
        <w:ind w:left="780"/>
        <w:jc w:val="left"/>
        <w:rPr>
          <w:rFonts w:ascii="Calibri" w:hAnsi="Calibri"/>
          <w:kern w:val="2"/>
          <w:sz w:val="21"/>
          <w:highlight w:val="none"/>
          <w:u w:val="single"/>
        </w:rPr>
      </w:pPr>
      <w:r>
        <w:rPr>
          <w:rFonts w:hint="eastAsia" w:ascii="Calibri" w:hAnsi="Calibri"/>
          <w:kern w:val="2"/>
          <w:sz w:val="21"/>
          <w:highlight w:val="none"/>
          <w:u w:val="single"/>
        </w:rPr>
        <w:t>报表。</w:t>
      </w:r>
    </w:p>
    <w:p w14:paraId="2F30BC12">
      <w:pPr>
        <w:pStyle w:val="2"/>
        <w:kinsoku w:val="0"/>
        <w:overflowPunct w:val="0"/>
        <w:spacing w:before="121" w:line="278" w:lineRule="auto"/>
        <w:ind w:left="780" w:right="1106"/>
        <w:jc w:val="left"/>
        <w:rPr>
          <w:rFonts w:ascii="Calibri" w:hAnsi="Calibri"/>
          <w:kern w:val="2"/>
          <w:sz w:val="21"/>
          <w:highlight w:val="none"/>
          <w:u w:val="single"/>
        </w:rPr>
      </w:pPr>
      <w:r>
        <w:rPr>
          <w:rFonts w:ascii="Calibri" w:hAnsi="Calibri"/>
          <w:kern w:val="2"/>
          <w:sz w:val="21"/>
          <w:highlight w:val="none"/>
          <w:u w:val="single"/>
        </w:rPr>
        <w:t>16</w:t>
      </w:r>
      <w:r>
        <w:rPr>
          <w:rFonts w:hint="eastAsia" w:ascii="Calibri" w:hAnsi="Calibri"/>
          <w:kern w:val="2"/>
          <w:sz w:val="21"/>
          <w:highlight w:val="none"/>
          <w:u w:val="single"/>
        </w:rPr>
        <w:t>、委托人对土石方计量有要求的，监理人必须按相关要求提供测量、计量结果，提供符合要求的测量及计算成果文件作为进度款审核依据，相关土石方计量工作须按委托人要求执行。</w:t>
      </w:r>
    </w:p>
    <w:p w14:paraId="7BABBCA7">
      <w:pPr>
        <w:pStyle w:val="2"/>
        <w:kinsoku w:val="0"/>
        <w:overflowPunct w:val="0"/>
        <w:spacing w:before="5"/>
        <w:jc w:val="left"/>
        <w:rPr>
          <w:rFonts w:ascii="Calibri" w:hAnsi="Calibri"/>
          <w:kern w:val="2"/>
          <w:sz w:val="21"/>
          <w:highlight w:val="none"/>
          <w:u w:val="single"/>
        </w:rPr>
      </w:pPr>
    </w:p>
    <w:p w14:paraId="067142C4">
      <w:pPr>
        <w:pStyle w:val="2"/>
        <w:kinsoku w:val="0"/>
        <w:overflowPunct w:val="0"/>
        <w:ind w:left="1200"/>
        <w:jc w:val="left"/>
        <w:rPr>
          <w:rFonts w:ascii="Calibri" w:hAnsi="Calibri"/>
          <w:kern w:val="2"/>
          <w:sz w:val="21"/>
          <w:highlight w:val="none"/>
          <w:u w:val="single"/>
        </w:rPr>
      </w:pPr>
      <w:r>
        <w:rPr>
          <w:rFonts w:hint="eastAsia" w:ascii="Calibri" w:hAnsi="Calibri"/>
          <w:kern w:val="2"/>
          <w:sz w:val="21"/>
          <w:highlight w:val="none"/>
          <w:u w:val="single"/>
        </w:rPr>
        <w:t>（四）工程验收方面</w:t>
      </w:r>
    </w:p>
    <w:p w14:paraId="421B027D">
      <w:pPr>
        <w:pStyle w:val="2"/>
        <w:kinsoku w:val="0"/>
        <w:overflowPunct w:val="0"/>
        <w:spacing w:before="6"/>
        <w:jc w:val="left"/>
        <w:rPr>
          <w:rFonts w:ascii="Calibri" w:hAnsi="Calibri"/>
          <w:kern w:val="2"/>
          <w:sz w:val="21"/>
          <w:highlight w:val="none"/>
          <w:u w:val="single"/>
        </w:rPr>
      </w:pPr>
    </w:p>
    <w:p w14:paraId="213B5279">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、组织单元工程质量评定、主持委托人委托的部分分部工程验收。协助委托人（或政府）按国家有关规定进行施工合同验收、专项验收、设计单元工程完工（竣工）验收、单项（设计单元）工程验收及工程移交。</w:t>
      </w:r>
    </w:p>
    <w:p w14:paraId="7BD7B65C">
      <w:pPr>
        <w:pStyle w:val="2"/>
        <w:kinsoku w:val="0"/>
        <w:overflowPunct w:val="0"/>
        <w:ind w:left="12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、审核设计人、承包人等编制的验收报告、图纸和资料。</w:t>
      </w:r>
    </w:p>
    <w:p w14:paraId="1D7BCF6D">
      <w:pPr>
        <w:pStyle w:val="2"/>
        <w:kinsoku w:val="0"/>
        <w:overflowPunct w:val="0"/>
        <w:spacing w:before="7"/>
        <w:jc w:val="left"/>
        <w:rPr>
          <w:rFonts w:ascii="Calibri" w:hAnsi="Calibri"/>
          <w:kern w:val="2"/>
          <w:sz w:val="21"/>
          <w:highlight w:val="none"/>
          <w:u w:val="single"/>
        </w:rPr>
      </w:pPr>
    </w:p>
    <w:p w14:paraId="31D14092">
      <w:pPr>
        <w:pStyle w:val="2"/>
        <w:kinsoku w:val="0"/>
        <w:overflowPunct w:val="0"/>
        <w:ind w:left="12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、制定验收工作计划，编制监理人应提供的验收报告及资料。</w:t>
      </w:r>
    </w:p>
    <w:p w14:paraId="43A6EED1">
      <w:pPr>
        <w:pStyle w:val="2"/>
        <w:kinsoku w:val="0"/>
        <w:overflowPunct w:val="0"/>
        <w:spacing w:before="7"/>
        <w:jc w:val="left"/>
        <w:rPr>
          <w:rFonts w:ascii="Calibri" w:hAnsi="Calibri"/>
          <w:kern w:val="2"/>
          <w:sz w:val="21"/>
          <w:highlight w:val="none"/>
          <w:u w:val="single"/>
        </w:rPr>
      </w:pPr>
    </w:p>
    <w:p w14:paraId="7624903B">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、审批遗留问题处理方案，监督承包人认真执行保修期的工作计划，检查和验收剩余工程，对已移交工程中出现的缺陷、病害，调查其原因并确定相应的责任。</w:t>
      </w:r>
    </w:p>
    <w:p w14:paraId="73BE0C22">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、其他相关工作。</w:t>
      </w:r>
    </w:p>
    <w:p w14:paraId="5CE47959">
      <w:pPr>
        <w:pStyle w:val="2"/>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（五）监理机构应向发包人提供的信息和文件</w:t>
      </w:r>
    </w:p>
    <w:p w14:paraId="4410350E">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、定期的信息文件——监理月报</w:t>
      </w:r>
    </w:p>
    <w:p w14:paraId="3CD03F3D">
      <w:pPr>
        <w:pStyle w:val="2"/>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监理月报的主要内容：（</w:t>
      </w:r>
      <w:r>
        <w:rPr>
          <w:rFonts w:ascii="Calibri" w:hAnsi="Calibri"/>
          <w:kern w:val="2"/>
          <w:sz w:val="21"/>
          <w:highlight w:val="none"/>
          <w:u w:val="single"/>
        </w:rPr>
        <w:t>1</w:t>
      </w:r>
      <w:r>
        <w:rPr>
          <w:rFonts w:hint="eastAsia" w:ascii="Calibri" w:hAnsi="Calibri"/>
          <w:kern w:val="2"/>
          <w:sz w:val="21"/>
          <w:highlight w:val="none"/>
          <w:u w:val="single"/>
        </w:rPr>
        <w:t>）项目概述：包括项目位置、项目主要特征及合同情况简介。</w:t>
      </w:r>
    </w:p>
    <w:p w14:paraId="1C16E93E">
      <w:pPr>
        <w:pStyle w:val="2"/>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w:t>
      </w:r>
      <w:r>
        <w:rPr>
          <w:rFonts w:ascii="Calibri" w:hAnsi="Calibri"/>
          <w:kern w:val="2"/>
          <w:sz w:val="21"/>
          <w:highlight w:val="none"/>
          <w:u w:val="single"/>
        </w:rPr>
        <w:t>2</w:t>
      </w:r>
      <w:r>
        <w:rPr>
          <w:rFonts w:hint="eastAsia" w:ascii="Calibri" w:hAnsi="Calibri"/>
          <w:kern w:val="2"/>
          <w:sz w:val="21"/>
          <w:highlight w:val="none"/>
          <w:u w:val="single"/>
        </w:rPr>
        <w:t>）大事记。（</w:t>
      </w:r>
      <w:r>
        <w:rPr>
          <w:rFonts w:ascii="Calibri" w:hAnsi="Calibri"/>
          <w:kern w:val="2"/>
          <w:sz w:val="21"/>
          <w:highlight w:val="none"/>
          <w:u w:val="single"/>
        </w:rPr>
        <w:t>3</w:t>
      </w:r>
      <w:r>
        <w:rPr>
          <w:rFonts w:hint="eastAsia" w:ascii="Calibri" w:hAnsi="Calibri"/>
          <w:kern w:val="2"/>
          <w:sz w:val="21"/>
          <w:highlight w:val="none"/>
          <w:u w:val="single"/>
        </w:rPr>
        <w:t>）工程进度与形象面貌。（</w:t>
      </w:r>
      <w:r>
        <w:rPr>
          <w:rFonts w:ascii="Calibri" w:hAnsi="Calibri"/>
          <w:kern w:val="2"/>
          <w:sz w:val="21"/>
          <w:highlight w:val="none"/>
          <w:u w:val="single"/>
        </w:rPr>
        <w:t>4</w:t>
      </w:r>
      <w:r>
        <w:rPr>
          <w:rFonts w:hint="eastAsia" w:ascii="Calibri" w:hAnsi="Calibri"/>
          <w:kern w:val="2"/>
          <w:sz w:val="21"/>
          <w:highlight w:val="none"/>
          <w:u w:val="single"/>
        </w:rPr>
        <w:t>）资金到位和使用情况。（</w:t>
      </w:r>
      <w:r>
        <w:rPr>
          <w:rFonts w:ascii="Calibri" w:hAnsi="Calibri"/>
          <w:kern w:val="2"/>
          <w:sz w:val="21"/>
          <w:highlight w:val="none"/>
          <w:u w:val="single"/>
        </w:rPr>
        <w:t>5</w:t>
      </w:r>
      <w:r>
        <w:rPr>
          <w:rFonts w:hint="eastAsia" w:ascii="Calibri" w:hAnsi="Calibri"/>
          <w:kern w:val="2"/>
          <w:sz w:val="21"/>
          <w:highlight w:val="none"/>
          <w:u w:val="single"/>
        </w:rPr>
        <w:t>）质量控制：包括质量评定、质量分析、质量事故处理等情况。（</w:t>
      </w:r>
      <w:r>
        <w:rPr>
          <w:rFonts w:ascii="Calibri" w:hAnsi="Calibri"/>
          <w:kern w:val="2"/>
          <w:sz w:val="21"/>
          <w:highlight w:val="none"/>
          <w:u w:val="single"/>
        </w:rPr>
        <w:t>6</w:t>
      </w:r>
      <w:r>
        <w:rPr>
          <w:rFonts w:hint="eastAsia" w:ascii="Calibri" w:hAnsi="Calibri"/>
          <w:kern w:val="2"/>
          <w:sz w:val="21"/>
          <w:highlight w:val="none"/>
          <w:u w:val="single"/>
        </w:rPr>
        <w:t>）合同执行情况：包括合同变更、索赔和违约等。（</w:t>
      </w:r>
      <w:r>
        <w:rPr>
          <w:rFonts w:ascii="Calibri" w:hAnsi="Calibri"/>
          <w:kern w:val="2"/>
          <w:sz w:val="21"/>
          <w:highlight w:val="none"/>
          <w:u w:val="single"/>
        </w:rPr>
        <w:t>7</w:t>
      </w:r>
      <w:r>
        <w:rPr>
          <w:rFonts w:hint="eastAsia" w:ascii="Calibri" w:hAnsi="Calibri"/>
          <w:kern w:val="2"/>
          <w:sz w:val="21"/>
          <w:highlight w:val="none"/>
          <w:u w:val="single"/>
        </w:rPr>
        <w:t>）现场会议和往来信函：包括会议记录、往来信函。（</w:t>
      </w:r>
      <w:r>
        <w:rPr>
          <w:rFonts w:ascii="Calibri" w:hAnsi="Calibri"/>
          <w:kern w:val="2"/>
          <w:sz w:val="21"/>
          <w:highlight w:val="none"/>
          <w:u w:val="single"/>
        </w:rPr>
        <w:t>9</w:t>
      </w:r>
      <w:r>
        <w:rPr>
          <w:rFonts w:hint="eastAsia" w:ascii="Calibri" w:hAnsi="Calibri"/>
          <w:kern w:val="2"/>
          <w:sz w:val="21"/>
          <w:highlight w:val="none"/>
          <w:u w:val="single"/>
        </w:rPr>
        <w:t>）监理工作：包括监理组织框图、资源投入、重要监理活动、图纸审查、发放、技术方案审查、工程需要解决的问题和其他事项。（</w:t>
      </w:r>
      <w:r>
        <w:rPr>
          <w:rFonts w:ascii="Calibri" w:hAnsi="Calibri"/>
          <w:kern w:val="2"/>
          <w:sz w:val="21"/>
          <w:highlight w:val="none"/>
          <w:u w:val="single"/>
        </w:rPr>
        <w:t>9</w:t>
      </w:r>
      <w:r>
        <w:rPr>
          <w:rFonts w:hint="eastAsia" w:ascii="Calibri" w:hAnsi="Calibri"/>
          <w:kern w:val="2"/>
          <w:sz w:val="21"/>
          <w:highlight w:val="none"/>
          <w:u w:val="single"/>
        </w:rPr>
        <w:t>）农民工实名制管理情况：包括劳动力的合同、更新动态支付工资、考勤表、公示、组织管理和存在的问题。（</w:t>
      </w:r>
      <w:r>
        <w:rPr>
          <w:rFonts w:ascii="Calibri" w:hAnsi="Calibri"/>
          <w:kern w:val="2"/>
          <w:sz w:val="21"/>
          <w:highlight w:val="none"/>
          <w:u w:val="single"/>
        </w:rPr>
        <w:t>10</w:t>
      </w:r>
      <w:r>
        <w:rPr>
          <w:rFonts w:hint="eastAsia" w:ascii="Calibri" w:hAnsi="Calibri"/>
          <w:kern w:val="2"/>
          <w:sz w:val="21"/>
          <w:highlight w:val="none"/>
          <w:u w:val="single"/>
        </w:rPr>
        <w:t>）安全和环境保护。（</w:t>
      </w:r>
      <w:r>
        <w:rPr>
          <w:rFonts w:ascii="Calibri" w:hAnsi="Calibri"/>
          <w:kern w:val="2"/>
          <w:sz w:val="21"/>
          <w:highlight w:val="none"/>
          <w:u w:val="single"/>
        </w:rPr>
        <w:t>11</w:t>
      </w:r>
      <w:r>
        <w:rPr>
          <w:rFonts w:hint="eastAsia" w:ascii="Calibri" w:hAnsi="Calibri"/>
          <w:kern w:val="2"/>
          <w:sz w:val="21"/>
          <w:highlight w:val="none"/>
          <w:u w:val="single"/>
        </w:rPr>
        <w:t>）工程进度款支付情况。（</w:t>
      </w:r>
      <w:r>
        <w:rPr>
          <w:rFonts w:ascii="Calibri" w:hAnsi="Calibri"/>
          <w:kern w:val="2"/>
          <w:sz w:val="21"/>
          <w:highlight w:val="none"/>
          <w:u w:val="single"/>
        </w:rPr>
        <w:t>12</w:t>
      </w:r>
      <w:r>
        <w:rPr>
          <w:rFonts w:hint="eastAsia" w:ascii="Calibri" w:hAnsi="Calibri"/>
          <w:kern w:val="2"/>
          <w:sz w:val="21"/>
          <w:highlight w:val="none"/>
          <w:u w:val="single"/>
        </w:rPr>
        <w:t>）工程进展图片。（</w:t>
      </w:r>
      <w:r>
        <w:rPr>
          <w:rFonts w:ascii="Calibri" w:hAnsi="Calibri"/>
          <w:kern w:val="2"/>
          <w:sz w:val="21"/>
          <w:highlight w:val="none"/>
          <w:u w:val="single"/>
        </w:rPr>
        <w:t>13</w:t>
      </w:r>
      <w:r>
        <w:rPr>
          <w:rFonts w:hint="eastAsia" w:ascii="Calibri" w:hAnsi="Calibri"/>
          <w:kern w:val="2"/>
          <w:sz w:val="21"/>
          <w:highlight w:val="none"/>
          <w:u w:val="single"/>
        </w:rPr>
        <w:t>）其他：</w:t>
      </w:r>
      <w:r>
        <w:rPr>
          <w:rFonts w:ascii="Calibri" w:hAnsi="Calibri"/>
          <w:kern w:val="2"/>
          <w:sz w:val="21"/>
          <w:highlight w:val="none"/>
          <w:u w:val="single"/>
        </w:rPr>
        <w:t xml:space="preserve"> </w:t>
      </w:r>
      <w:r>
        <w:rPr>
          <w:rFonts w:hint="eastAsia" w:ascii="Calibri" w:hAnsi="Calibri"/>
          <w:kern w:val="2"/>
          <w:sz w:val="21"/>
          <w:highlight w:val="none"/>
          <w:u w:val="single"/>
        </w:rPr>
        <w:t>包括水文和气象等自然情况。</w:t>
      </w:r>
    </w:p>
    <w:p w14:paraId="35FEC072">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、不定期的监理工作报告：（</w:t>
      </w:r>
      <w:r>
        <w:rPr>
          <w:rFonts w:ascii="Calibri" w:hAnsi="Calibri"/>
          <w:kern w:val="2"/>
          <w:sz w:val="21"/>
          <w:highlight w:val="none"/>
          <w:u w:val="single"/>
        </w:rPr>
        <w:t>1</w:t>
      </w:r>
      <w:r>
        <w:rPr>
          <w:rFonts w:hint="eastAsia" w:ascii="Calibri" w:hAnsi="Calibri"/>
          <w:kern w:val="2"/>
          <w:sz w:val="21"/>
          <w:highlight w:val="none"/>
          <w:u w:val="single"/>
        </w:rPr>
        <w:t>）关于工程优化设计、工程变更的建议。（</w:t>
      </w:r>
      <w:r>
        <w:rPr>
          <w:rFonts w:ascii="Calibri" w:hAnsi="Calibri"/>
          <w:kern w:val="2"/>
          <w:sz w:val="21"/>
          <w:highlight w:val="none"/>
          <w:u w:val="single"/>
        </w:rPr>
        <w:t>2</w:t>
      </w:r>
      <w:r>
        <w:rPr>
          <w:rFonts w:hint="eastAsia" w:ascii="Calibri" w:hAnsi="Calibri"/>
          <w:kern w:val="2"/>
          <w:sz w:val="21"/>
          <w:highlight w:val="none"/>
          <w:u w:val="single"/>
        </w:rPr>
        <w:t>）投资情况分析预测及资金、资源的合理配置的投入的建议。（</w:t>
      </w:r>
      <w:r>
        <w:rPr>
          <w:rFonts w:ascii="Calibri" w:hAnsi="Calibri"/>
          <w:kern w:val="2"/>
          <w:sz w:val="21"/>
          <w:highlight w:val="none"/>
          <w:u w:val="single"/>
        </w:rPr>
        <w:t>3</w:t>
      </w:r>
      <w:r>
        <w:rPr>
          <w:rFonts w:hint="eastAsia" w:ascii="Calibri" w:hAnsi="Calibri"/>
          <w:kern w:val="2"/>
          <w:sz w:val="21"/>
          <w:highlight w:val="none"/>
          <w:u w:val="single"/>
        </w:rPr>
        <w:t>）工程进度预测分析报告。</w:t>
      </w:r>
    </w:p>
    <w:p w14:paraId="0929B5DA">
      <w:pPr>
        <w:pStyle w:val="2"/>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、日常监理文件：（</w:t>
      </w:r>
      <w:r>
        <w:rPr>
          <w:rFonts w:ascii="Calibri" w:hAnsi="Calibri"/>
          <w:kern w:val="2"/>
          <w:sz w:val="21"/>
          <w:highlight w:val="none"/>
          <w:u w:val="single"/>
        </w:rPr>
        <w:t>1</w:t>
      </w:r>
      <w:r>
        <w:rPr>
          <w:rFonts w:hint="eastAsia" w:ascii="Calibri" w:hAnsi="Calibri"/>
          <w:kern w:val="2"/>
          <w:sz w:val="21"/>
          <w:highlight w:val="none"/>
          <w:u w:val="single"/>
        </w:rPr>
        <w:t>）监理日记。（</w:t>
      </w:r>
      <w:r>
        <w:rPr>
          <w:rFonts w:ascii="Calibri" w:hAnsi="Calibri"/>
          <w:kern w:val="2"/>
          <w:sz w:val="21"/>
          <w:highlight w:val="none"/>
          <w:u w:val="single"/>
        </w:rPr>
        <w:t>2</w:t>
      </w:r>
      <w:r>
        <w:rPr>
          <w:rFonts w:hint="eastAsia" w:ascii="Calibri" w:hAnsi="Calibri"/>
          <w:kern w:val="2"/>
          <w:sz w:val="21"/>
          <w:highlight w:val="none"/>
          <w:u w:val="single"/>
        </w:rPr>
        <w:t>）施工计划批复文件。（</w:t>
      </w:r>
      <w:r>
        <w:rPr>
          <w:rFonts w:ascii="Calibri" w:hAnsi="Calibri"/>
          <w:kern w:val="2"/>
          <w:sz w:val="21"/>
          <w:highlight w:val="none"/>
          <w:u w:val="single"/>
        </w:rPr>
        <w:t>3</w:t>
      </w:r>
      <w:r>
        <w:rPr>
          <w:rFonts w:hint="eastAsia" w:ascii="Calibri" w:hAnsi="Calibri"/>
          <w:kern w:val="2"/>
          <w:sz w:val="21"/>
          <w:highlight w:val="none"/>
          <w:u w:val="single"/>
        </w:rPr>
        <w:t>）施工措施批复文件。（</w:t>
      </w:r>
      <w:r>
        <w:rPr>
          <w:rFonts w:ascii="Calibri" w:hAnsi="Calibri"/>
          <w:kern w:val="2"/>
          <w:sz w:val="21"/>
          <w:highlight w:val="none"/>
          <w:u w:val="single"/>
        </w:rPr>
        <w:t>4</w:t>
      </w:r>
      <w:r>
        <w:rPr>
          <w:rFonts w:hint="eastAsia" w:ascii="Calibri" w:hAnsi="Calibri"/>
          <w:kern w:val="2"/>
          <w:sz w:val="21"/>
          <w:highlight w:val="none"/>
          <w:u w:val="single"/>
        </w:rPr>
        <w:t>）施工进度调整批复文件。（</w:t>
      </w:r>
      <w:r>
        <w:rPr>
          <w:rFonts w:ascii="Calibri" w:hAnsi="Calibri"/>
          <w:kern w:val="2"/>
          <w:sz w:val="21"/>
          <w:highlight w:val="none"/>
          <w:u w:val="single"/>
        </w:rPr>
        <w:t>5</w:t>
      </w:r>
      <w:r>
        <w:rPr>
          <w:rFonts w:hint="eastAsia" w:ascii="Calibri" w:hAnsi="Calibri"/>
          <w:kern w:val="2"/>
          <w:sz w:val="21"/>
          <w:highlight w:val="none"/>
          <w:u w:val="single"/>
        </w:rPr>
        <w:t>）进度款支付确认文件。（</w:t>
      </w:r>
      <w:r>
        <w:rPr>
          <w:rFonts w:ascii="Calibri" w:hAnsi="Calibri"/>
          <w:kern w:val="2"/>
          <w:sz w:val="21"/>
          <w:highlight w:val="none"/>
          <w:u w:val="single"/>
        </w:rPr>
        <w:t>6</w:t>
      </w:r>
      <w:r>
        <w:rPr>
          <w:rFonts w:hint="eastAsia" w:ascii="Calibri" w:hAnsi="Calibri"/>
          <w:kern w:val="2"/>
          <w:sz w:val="21"/>
          <w:highlight w:val="none"/>
          <w:u w:val="single"/>
        </w:rPr>
        <w:t>）索赔受理、调查及处理文件。（</w:t>
      </w:r>
      <w:r>
        <w:rPr>
          <w:rFonts w:ascii="Calibri" w:hAnsi="Calibri"/>
          <w:kern w:val="2"/>
          <w:sz w:val="21"/>
          <w:highlight w:val="none"/>
          <w:u w:val="single"/>
        </w:rPr>
        <w:t>7</w:t>
      </w:r>
      <w:r>
        <w:rPr>
          <w:rFonts w:hint="eastAsia" w:ascii="Calibri" w:hAnsi="Calibri"/>
          <w:kern w:val="2"/>
          <w:sz w:val="21"/>
          <w:highlight w:val="none"/>
          <w:u w:val="single"/>
        </w:rPr>
        <w:t>）监理协调会议纪要文件。（</w:t>
      </w:r>
      <w:r>
        <w:rPr>
          <w:rFonts w:ascii="Calibri" w:hAnsi="Calibri"/>
          <w:kern w:val="2"/>
          <w:sz w:val="21"/>
          <w:highlight w:val="none"/>
          <w:u w:val="single"/>
        </w:rPr>
        <w:t>8</w:t>
      </w:r>
      <w:r>
        <w:rPr>
          <w:rFonts w:hint="eastAsia" w:ascii="Calibri" w:hAnsi="Calibri"/>
          <w:kern w:val="2"/>
          <w:sz w:val="21"/>
          <w:highlight w:val="none"/>
          <w:u w:val="single"/>
        </w:rPr>
        <w:t>）其他监理业务往来文件。</w:t>
      </w:r>
    </w:p>
    <w:p w14:paraId="203216E8">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1.2 </w:t>
      </w:r>
      <w:r>
        <w:rPr>
          <w:rFonts w:hint="eastAsia" w:ascii="宋体" w:hAnsi="宋体" w:cs="宋体"/>
          <w:szCs w:val="21"/>
          <w:highlight w:val="none"/>
        </w:rPr>
        <w:t>履行职责</w:t>
      </w:r>
    </w:p>
    <w:p w14:paraId="3CA58A4A">
      <w:pPr>
        <w:spacing w:line="400" w:lineRule="exact"/>
        <w:ind w:firstLine="420" w:firstLineChars="200"/>
        <w:jc w:val="left"/>
        <w:rPr>
          <w:rFonts w:ascii="宋体"/>
          <w:szCs w:val="21"/>
          <w:highlight w:val="none"/>
        </w:rPr>
      </w:pPr>
      <w:r>
        <w:rPr>
          <w:rFonts w:ascii="宋体" w:hAnsi="宋体"/>
          <w:szCs w:val="21"/>
          <w:highlight w:val="none"/>
        </w:rPr>
        <w:t xml:space="preserve">1.2.1 </w:t>
      </w:r>
      <w:r>
        <w:rPr>
          <w:rFonts w:hint="eastAsia" w:ascii="宋体" w:hAnsi="宋体"/>
          <w:szCs w:val="21"/>
          <w:highlight w:val="none"/>
        </w:rPr>
        <w:t>在全过程工程咨询服务范围内，委托人和其他参建方提出的意见和要求，受托人应及时提出处置意见。当委托人与其他参建方之间发生合同争议时，受托人应协助委托人协商解决。</w:t>
      </w:r>
    </w:p>
    <w:p w14:paraId="35B701B7">
      <w:pPr>
        <w:spacing w:line="400" w:lineRule="exact"/>
        <w:ind w:firstLine="420" w:firstLineChars="200"/>
        <w:jc w:val="left"/>
        <w:rPr>
          <w:rFonts w:ascii="宋体"/>
          <w:szCs w:val="21"/>
          <w:highlight w:val="none"/>
        </w:rPr>
      </w:pPr>
      <w:r>
        <w:rPr>
          <w:rFonts w:ascii="宋体" w:hAnsi="宋体"/>
          <w:szCs w:val="21"/>
          <w:highlight w:val="none"/>
        </w:rPr>
        <w:t xml:space="preserve">1.2.2 </w:t>
      </w:r>
      <w:r>
        <w:rPr>
          <w:rFonts w:hint="eastAsia" w:ascii="宋体" w:hAnsi="宋体"/>
          <w:szCs w:val="21"/>
          <w:highlight w:val="none"/>
        </w:rPr>
        <w:t>当委托人与其他参建方之间的合同争议提交仲裁机构仲裁或人民法院审理时，受托人应提供必要的证明资料。</w:t>
      </w:r>
    </w:p>
    <w:p w14:paraId="48C9923C">
      <w:pPr>
        <w:spacing w:line="400" w:lineRule="exact"/>
        <w:ind w:firstLine="420" w:firstLineChars="200"/>
        <w:jc w:val="left"/>
        <w:rPr>
          <w:rFonts w:ascii="宋体"/>
          <w:szCs w:val="21"/>
          <w:highlight w:val="none"/>
        </w:rPr>
      </w:pPr>
      <w:r>
        <w:rPr>
          <w:rFonts w:ascii="宋体" w:hAnsi="宋体"/>
          <w:szCs w:val="21"/>
          <w:highlight w:val="none"/>
        </w:rPr>
        <w:t xml:space="preserve">1.2.3 </w:t>
      </w:r>
      <w:r>
        <w:rPr>
          <w:rFonts w:hint="eastAsia" w:ascii="宋体" w:hAnsi="宋体"/>
          <w:szCs w:val="21"/>
          <w:highlight w:val="none"/>
        </w:rPr>
        <w:t>受托人应在专用条件约定的授权范围内，处理委托人与其他参建方所签订合同的变更事宜。如果变更超过授权范围，应以书面形式报委托人批准。</w:t>
      </w:r>
    </w:p>
    <w:p w14:paraId="77FBEFF2">
      <w:pPr>
        <w:spacing w:line="400" w:lineRule="exact"/>
        <w:ind w:firstLine="420" w:firstLineChars="200"/>
        <w:jc w:val="left"/>
        <w:rPr>
          <w:rFonts w:ascii="宋体"/>
          <w:szCs w:val="21"/>
          <w:highlight w:val="none"/>
        </w:rPr>
      </w:pPr>
      <w:r>
        <w:rPr>
          <w:rFonts w:hint="eastAsia" w:ascii="宋体" w:hAnsi="宋体"/>
          <w:szCs w:val="21"/>
          <w:highlight w:val="none"/>
        </w:rPr>
        <w:t>在紧急情况下，为了保护财产和人身安全，受托人所发出的指令未能事先报委托人批准时，应在发出指令后的</w:t>
      </w:r>
      <w:r>
        <w:rPr>
          <w:rFonts w:ascii="宋体" w:hAnsi="宋体"/>
          <w:szCs w:val="21"/>
          <w:highlight w:val="none"/>
        </w:rPr>
        <w:t>24</w:t>
      </w:r>
      <w:r>
        <w:rPr>
          <w:rFonts w:hint="eastAsia" w:ascii="宋体" w:hAnsi="宋体"/>
          <w:szCs w:val="21"/>
          <w:highlight w:val="none"/>
        </w:rPr>
        <w:t>小时内以书面形式报委托人。</w:t>
      </w:r>
    </w:p>
    <w:p w14:paraId="17310330">
      <w:pPr>
        <w:spacing w:line="400" w:lineRule="exact"/>
        <w:ind w:firstLine="420" w:firstLineChars="200"/>
        <w:jc w:val="left"/>
        <w:rPr>
          <w:rFonts w:ascii="宋体" w:cs="宋体"/>
          <w:b/>
          <w:szCs w:val="21"/>
          <w:highlight w:val="none"/>
        </w:rPr>
      </w:pPr>
      <w:r>
        <w:rPr>
          <w:rFonts w:ascii="宋体" w:hAnsi="宋体"/>
          <w:szCs w:val="21"/>
          <w:highlight w:val="none"/>
        </w:rPr>
        <w:t xml:space="preserve">1.2.4 </w:t>
      </w:r>
      <w:r>
        <w:rPr>
          <w:rFonts w:hint="eastAsia" w:ascii="宋体" w:hAnsi="宋体"/>
          <w:szCs w:val="21"/>
          <w:highlight w:val="none"/>
        </w:rPr>
        <w:t>除专用条件另有约定外，受托人发现其他参建方的人员不能胜任本职工作的，有权要求其他参建方予以调换。</w:t>
      </w:r>
      <w:bookmarkStart w:id="339" w:name="_Toc527955041"/>
      <w:bookmarkStart w:id="340" w:name="_Toc522389781"/>
    </w:p>
    <w:p w14:paraId="4E540E0C">
      <w:pPr>
        <w:spacing w:line="360" w:lineRule="auto"/>
        <w:ind w:firstLine="422" w:firstLineChars="200"/>
        <w:jc w:val="left"/>
        <w:outlineLvl w:val="3"/>
        <w:rPr>
          <w:rFonts w:ascii="宋体" w:cs="宋体"/>
          <w:b/>
          <w:szCs w:val="21"/>
          <w:highlight w:val="none"/>
        </w:rPr>
      </w:pPr>
      <w:r>
        <w:rPr>
          <w:rFonts w:ascii="宋体" w:hAnsi="宋体" w:cs="宋体"/>
          <w:b/>
          <w:szCs w:val="21"/>
          <w:highlight w:val="none"/>
        </w:rPr>
        <w:t xml:space="preserve">2. </w:t>
      </w:r>
      <w:r>
        <w:rPr>
          <w:rFonts w:hint="eastAsia" w:ascii="宋体" w:hAnsi="宋体" w:cs="宋体"/>
          <w:b/>
          <w:szCs w:val="21"/>
          <w:highlight w:val="none"/>
        </w:rPr>
        <w:t>委托人的义务</w:t>
      </w:r>
      <w:bookmarkEnd w:id="339"/>
      <w:bookmarkEnd w:id="340"/>
    </w:p>
    <w:p w14:paraId="09ABB263">
      <w:pPr>
        <w:spacing w:line="360" w:lineRule="auto"/>
        <w:ind w:firstLine="420" w:firstLineChars="200"/>
        <w:jc w:val="left"/>
        <w:rPr>
          <w:rFonts w:ascii="宋体" w:cs="宋体"/>
          <w:kern w:val="0"/>
          <w:szCs w:val="21"/>
          <w:highlight w:val="none"/>
        </w:rPr>
      </w:pPr>
      <w:r>
        <w:rPr>
          <w:rFonts w:ascii="宋体" w:hAnsi="宋体" w:cs="宋体"/>
          <w:kern w:val="0"/>
          <w:szCs w:val="21"/>
          <w:highlight w:val="none"/>
        </w:rPr>
        <w:t xml:space="preserve">2.1 </w:t>
      </w:r>
      <w:r>
        <w:rPr>
          <w:rFonts w:hint="eastAsia" w:ascii="宋体" w:hAnsi="宋体" w:cs="宋体"/>
          <w:kern w:val="0"/>
          <w:szCs w:val="21"/>
          <w:highlight w:val="none"/>
        </w:rPr>
        <w:t>告知</w:t>
      </w:r>
    </w:p>
    <w:p w14:paraId="1AE73325">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委托人应在委托人与其他参建方签订的合同中明确受托人、全过程工程咨询服务项目总负责人和授予全过程工程咨询服务机构的权限。如有变更，应及时通知其他参建方。</w:t>
      </w:r>
    </w:p>
    <w:p w14:paraId="32A1C83E">
      <w:pPr>
        <w:spacing w:line="360" w:lineRule="auto"/>
        <w:ind w:firstLine="420" w:firstLineChars="200"/>
        <w:jc w:val="left"/>
        <w:rPr>
          <w:rFonts w:hint="eastAsia" w:ascii="宋体" w:hAnsi="宋体" w:cs="宋体"/>
          <w:kern w:val="0"/>
          <w:szCs w:val="21"/>
          <w:highlight w:val="none"/>
        </w:rPr>
      </w:pPr>
      <w:r>
        <w:rPr>
          <w:rFonts w:ascii="宋体" w:hAnsi="宋体" w:cs="宋体"/>
          <w:kern w:val="0"/>
          <w:szCs w:val="21"/>
          <w:highlight w:val="none"/>
        </w:rPr>
        <w:t xml:space="preserve">2.2 </w:t>
      </w:r>
      <w:r>
        <w:rPr>
          <w:rFonts w:hint="eastAsia" w:ascii="宋体" w:hAnsi="宋体" w:cs="宋体"/>
          <w:kern w:val="0"/>
          <w:szCs w:val="21"/>
          <w:highlight w:val="none"/>
        </w:rPr>
        <w:t>委托人意见或要求</w:t>
      </w:r>
    </w:p>
    <w:p w14:paraId="038BB60A">
      <w:pPr>
        <w:spacing w:line="360" w:lineRule="auto"/>
        <w:ind w:firstLine="420" w:firstLineChars="200"/>
        <w:jc w:val="left"/>
        <w:rPr>
          <w:rFonts w:hint="eastAsia" w:ascii="宋体" w:hAnsi="宋体"/>
          <w:szCs w:val="21"/>
          <w:highlight w:val="none"/>
        </w:rPr>
      </w:pPr>
      <w:r>
        <w:rPr>
          <w:rFonts w:hint="eastAsia" w:ascii="宋体" w:hAnsi="宋体" w:cs="宋体"/>
          <w:kern w:val="0"/>
          <w:szCs w:val="21"/>
          <w:highlight w:val="none"/>
        </w:rPr>
        <w:t>在本合同约定的全过程工程咨询服务工作范围内，委托人对其他参建方的任何意见或要求应通知受托人，由受托人向其他参建方发出相应指令。</w:t>
      </w:r>
    </w:p>
    <w:p w14:paraId="21D34400">
      <w:pPr>
        <w:spacing w:line="360" w:lineRule="auto"/>
        <w:ind w:firstLine="420" w:firstLineChars="200"/>
        <w:jc w:val="left"/>
        <w:rPr>
          <w:rFonts w:ascii="宋体"/>
          <w:szCs w:val="21"/>
          <w:highlight w:val="none"/>
        </w:rPr>
      </w:pPr>
      <w:r>
        <w:rPr>
          <w:rFonts w:ascii="宋体" w:hAnsi="宋体"/>
          <w:szCs w:val="21"/>
          <w:highlight w:val="none"/>
        </w:rPr>
        <w:t xml:space="preserve">2.3 </w:t>
      </w:r>
      <w:r>
        <w:rPr>
          <w:rFonts w:hint="eastAsia" w:ascii="宋体" w:hAnsi="宋体"/>
          <w:szCs w:val="21"/>
          <w:highlight w:val="none"/>
        </w:rPr>
        <w:t>参与和监督</w:t>
      </w:r>
    </w:p>
    <w:p w14:paraId="40E4677A">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1</w:t>
      </w:r>
      <w:r>
        <w:rPr>
          <w:rFonts w:hint="eastAsia" w:ascii="宋体" w:hAnsi="宋体" w:cs="宋体"/>
          <w:kern w:val="0"/>
          <w:szCs w:val="21"/>
          <w:highlight w:val="none"/>
        </w:rPr>
        <w:t>）委托人有权对工程质量和施工进度进行监督，参与项目建设过程中的阶段性验收和竣工验收。</w:t>
      </w:r>
    </w:p>
    <w:p w14:paraId="156284FF">
      <w:pPr>
        <w:spacing w:line="360" w:lineRule="auto"/>
        <w:ind w:firstLine="420" w:firstLineChars="200"/>
        <w:jc w:val="left"/>
        <w:rPr>
          <w:rFonts w:ascii="宋体"/>
          <w:szCs w:val="21"/>
          <w:highlight w:val="none"/>
        </w:rPr>
      </w:pPr>
      <w:r>
        <w:rPr>
          <w:rFonts w:hint="eastAsia" w:ascii="宋体" w:hAnsi="宋体" w:cs="宋体"/>
          <w:kern w:val="0"/>
          <w:szCs w:val="21"/>
          <w:highlight w:val="none"/>
        </w:rPr>
        <w:t>（</w:t>
      </w:r>
      <w:r>
        <w:rPr>
          <w:rFonts w:ascii="宋体" w:hAnsi="宋体" w:cs="宋体"/>
          <w:kern w:val="0"/>
          <w:szCs w:val="21"/>
          <w:highlight w:val="none"/>
        </w:rPr>
        <w:t>2</w:t>
      </w:r>
      <w:r>
        <w:rPr>
          <w:rFonts w:hint="eastAsia" w:ascii="宋体" w:hAnsi="宋体" w:cs="宋体"/>
          <w:kern w:val="0"/>
          <w:szCs w:val="21"/>
          <w:highlight w:val="none"/>
        </w:rPr>
        <w:t>）委托人有权依法对监理工作进行检查和监督，并对受托方违规行为予以纠正。</w:t>
      </w:r>
    </w:p>
    <w:p w14:paraId="7F94DDA9">
      <w:pPr>
        <w:spacing w:line="360" w:lineRule="auto"/>
        <w:ind w:firstLine="420" w:firstLineChars="200"/>
        <w:jc w:val="left"/>
        <w:outlineLvl w:val="3"/>
        <w:rPr>
          <w:rFonts w:ascii="宋体" w:cs="宋体"/>
          <w:b/>
          <w:szCs w:val="21"/>
          <w:highlight w:val="none"/>
        </w:rPr>
      </w:pPr>
      <w:r>
        <w:rPr>
          <w:rFonts w:ascii="宋体" w:hAnsi="宋体"/>
          <w:szCs w:val="21"/>
          <w:highlight w:val="none"/>
        </w:rPr>
        <w:t>3.</w:t>
      </w:r>
      <w:r>
        <w:rPr>
          <w:rFonts w:ascii="宋体" w:hAnsi="宋体" w:cs="宋体"/>
          <w:b/>
          <w:szCs w:val="21"/>
          <w:highlight w:val="none"/>
        </w:rPr>
        <w:t xml:space="preserve"> </w:t>
      </w:r>
      <w:r>
        <w:rPr>
          <w:rFonts w:hint="eastAsia" w:ascii="宋体" w:hAnsi="宋体" w:cs="宋体"/>
          <w:b/>
          <w:szCs w:val="21"/>
          <w:highlight w:val="none"/>
        </w:rPr>
        <w:t>违约责任</w:t>
      </w:r>
    </w:p>
    <w:p w14:paraId="0D0890FD">
      <w:pPr>
        <w:adjustRightInd w:val="0"/>
        <w:spacing w:line="360" w:lineRule="auto"/>
        <w:ind w:firstLine="420" w:firstLineChars="200"/>
        <w:jc w:val="left"/>
        <w:rPr>
          <w:rFonts w:ascii="宋体" w:cs="宋体"/>
          <w:szCs w:val="21"/>
          <w:highlight w:val="none"/>
        </w:rPr>
      </w:pPr>
      <w:r>
        <w:rPr>
          <w:rFonts w:ascii="宋体" w:hAnsi="宋体" w:cs="宋体"/>
          <w:szCs w:val="21"/>
          <w:highlight w:val="none"/>
        </w:rPr>
        <w:t xml:space="preserve">3.1 </w:t>
      </w:r>
      <w:r>
        <w:rPr>
          <w:rFonts w:hint="eastAsia" w:ascii="宋体" w:hAnsi="宋体" w:cs="宋体"/>
          <w:szCs w:val="21"/>
          <w:highlight w:val="none"/>
        </w:rPr>
        <w:t>受托人的违约责任</w:t>
      </w:r>
    </w:p>
    <w:p w14:paraId="1CAEDF4D">
      <w:pPr>
        <w:spacing w:line="360" w:lineRule="auto"/>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）若由于受托人原因造成工程质量或安全事故，受托人必须承担的相应责任：</w:t>
      </w:r>
      <w:r>
        <w:rPr>
          <w:rFonts w:hint="eastAsia" w:ascii="宋体" w:hAnsi="宋体"/>
          <w:szCs w:val="21"/>
          <w:highlight w:val="none"/>
          <w:u w:val="single"/>
        </w:rPr>
        <w:t xml:space="preserve">       </w:t>
      </w:r>
      <w:r>
        <w:rPr>
          <w:rFonts w:hint="eastAsia" w:ascii="宋体" w:hAnsi="宋体"/>
          <w:szCs w:val="21"/>
          <w:highlight w:val="none"/>
        </w:rPr>
        <w:t>。</w:t>
      </w:r>
    </w:p>
    <w:p w14:paraId="7BB958F2">
      <w:pPr>
        <w:spacing w:line="360" w:lineRule="auto"/>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）若由于受托人原因给委托人造成损失的，受托人必须承担的赔偿责任：</w:t>
      </w:r>
      <w:r>
        <w:rPr>
          <w:rFonts w:ascii="宋体" w:hAnsi="宋体"/>
          <w:szCs w:val="21"/>
          <w:highlight w:val="none"/>
          <w:u w:val="single"/>
        </w:rPr>
        <w:t xml:space="preserve">         </w:t>
      </w:r>
      <w:r>
        <w:rPr>
          <w:rFonts w:hint="eastAsia" w:ascii="宋体" w:hAnsi="宋体"/>
          <w:szCs w:val="21"/>
          <w:highlight w:val="none"/>
        </w:rPr>
        <w:t>。</w:t>
      </w:r>
    </w:p>
    <w:p w14:paraId="1096432A">
      <w:pPr>
        <w:spacing w:line="360" w:lineRule="auto"/>
        <w:ind w:firstLine="422" w:firstLineChars="200"/>
        <w:jc w:val="left"/>
        <w:outlineLvl w:val="3"/>
        <w:rPr>
          <w:rFonts w:ascii="宋体"/>
          <w:b/>
          <w:szCs w:val="21"/>
          <w:highlight w:val="none"/>
        </w:rPr>
      </w:pPr>
      <w:r>
        <w:rPr>
          <w:rFonts w:ascii="宋体" w:hAnsi="宋体"/>
          <w:b/>
          <w:szCs w:val="21"/>
          <w:highlight w:val="none"/>
        </w:rPr>
        <w:t xml:space="preserve">4. </w:t>
      </w:r>
      <w:r>
        <w:rPr>
          <w:rFonts w:hint="eastAsia" w:ascii="宋体" w:hAnsi="宋体"/>
          <w:b/>
          <w:szCs w:val="21"/>
          <w:highlight w:val="none"/>
        </w:rPr>
        <w:t>工程监理服务费用支付</w:t>
      </w:r>
    </w:p>
    <w:p w14:paraId="6F9B507C">
      <w:pPr>
        <w:spacing w:line="360" w:lineRule="auto"/>
        <w:jc w:val="left"/>
        <w:rPr>
          <w:rFonts w:ascii="宋体"/>
          <w:szCs w:val="21"/>
          <w:highlight w:val="none"/>
        </w:rPr>
      </w:pPr>
    </w:p>
    <w:tbl>
      <w:tblPr>
        <w:tblStyle w:val="34"/>
        <w:tblpPr w:topFromText="180" w:bottomFromText="180" w:vertAnchor="text" w:horzAnchor="margin" w:tblpXSpec="center" w:tblpY="-7"/>
        <w:tblOverlap w:val="never"/>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78F21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346BA806">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tcPr>
          <w:p w14:paraId="2119B524">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7246DA13">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tcPr>
          <w:p w14:paraId="23290D5B">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5FFD3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7AA97CA9">
            <w:pPr>
              <w:snapToGrid w:val="0"/>
              <w:spacing w:line="360" w:lineRule="auto"/>
              <w:jc w:val="left"/>
              <w:rPr>
                <w:rFonts w:ascii="宋体"/>
                <w:szCs w:val="21"/>
                <w:highlight w:val="none"/>
              </w:rPr>
            </w:pPr>
          </w:p>
        </w:tc>
        <w:tc>
          <w:tcPr>
            <w:tcW w:w="2127" w:type="dxa"/>
          </w:tcPr>
          <w:p w14:paraId="53205B1A">
            <w:pPr>
              <w:snapToGrid w:val="0"/>
              <w:spacing w:line="360" w:lineRule="auto"/>
              <w:jc w:val="left"/>
              <w:rPr>
                <w:rFonts w:ascii="宋体"/>
                <w:szCs w:val="21"/>
                <w:highlight w:val="none"/>
              </w:rPr>
            </w:pPr>
          </w:p>
        </w:tc>
        <w:tc>
          <w:tcPr>
            <w:tcW w:w="1559" w:type="dxa"/>
          </w:tcPr>
          <w:p w14:paraId="1B53CA17">
            <w:pPr>
              <w:snapToGrid w:val="0"/>
              <w:spacing w:line="360" w:lineRule="auto"/>
              <w:jc w:val="left"/>
              <w:rPr>
                <w:rFonts w:ascii="宋体"/>
                <w:szCs w:val="21"/>
                <w:highlight w:val="none"/>
              </w:rPr>
            </w:pPr>
          </w:p>
        </w:tc>
        <w:tc>
          <w:tcPr>
            <w:tcW w:w="2835" w:type="dxa"/>
          </w:tcPr>
          <w:p w14:paraId="787C9F6E">
            <w:pPr>
              <w:snapToGrid w:val="0"/>
              <w:spacing w:line="360" w:lineRule="auto"/>
              <w:jc w:val="left"/>
              <w:rPr>
                <w:rFonts w:ascii="宋体"/>
                <w:szCs w:val="21"/>
                <w:highlight w:val="none"/>
              </w:rPr>
            </w:pPr>
          </w:p>
        </w:tc>
      </w:tr>
      <w:tr w14:paraId="652E8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1172BFC0">
            <w:pPr>
              <w:snapToGrid w:val="0"/>
              <w:spacing w:line="360" w:lineRule="auto"/>
              <w:jc w:val="left"/>
              <w:rPr>
                <w:rFonts w:ascii="宋体"/>
                <w:szCs w:val="21"/>
                <w:highlight w:val="none"/>
              </w:rPr>
            </w:pPr>
          </w:p>
        </w:tc>
        <w:tc>
          <w:tcPr>
            <w:tcW w:w="2127" w:type="dxa"/>
          </w:tcPr>
          <w:p w14:paraId="7A32DA80">
            <w:pPr>
              <w:snapToGrid w:val="0"/>
              <w:spacing w:line="360" w:lineRule="auto"/>
              <w:ind w:firstLine="315" w:firstLineChars="150"/>
              <w:jc w:val="left"/>
              <w:rPr>
                <w:rFonts w:ascii="宋体"/>
                <w:szCs w:val="21"/>
                <w:highlight w:val="none"/>
              </w:rPr>
            </w:pPr>
          </w:p>
        </w:tc>
        <w:tc>
          <w:tcPr>
            <w:tcW w:w="1559" w:type="dxa"/>
          </w:tcPr>
          <w:p w14:paraId="0BF551B8">
            <w:pPr>
              <w:snapToGrid w:val="0"/>
              <w:spacing w:line="360" w:lineRule="auto"/>
              <w:jc w:val="left"/>
              <w:rPr>
                <w:rFonts w:ascii="宋体"/>
                <w:szCs w:val="21"/>
                <w:highlight w:val="none"/>
              </w:rPr>
            </w:pPr>
          </w:p>
        </w:tc>
        <w:tc>
          <w:tcPr>
            <w:tcW w:w="2835" w:type="dxa"/>
          </w:tcPr>
          <w:p w14:paraId="5D4CC500">
            <w:pPr>
              <w:snapToGrid w:val="0"/>
              <w:spacing w:line="360" w:lineRule="auto"/>
              <w:ind w:firstLine="735" w:firstLineChars="350"/>
              <w:jc w:val="left"/>
              <w:rPr>
                <w:rFonts w:ascii="宋体"/>
                <w:szCs w:val="21"/>
                <w:highlight w:val="none"/>
              </w:rPr>
            </w:pPr>
          </w:p>
        </w:tc>
      </w:tr>
      <w:tr w14:paraId="12BE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44888074">
            <w:pPr>
              <w:snapToGrid w:val="0"/>
              <w:spacing w:line="360" w:lineRule="auto"/>
              <w:jc w:val="left"/>
              <w:rPr>
                <w:rFonts w:ascii="宋体"/>
                <w:szCs w:val="21"/>
                <w:highlight w:val="none"/>
              </w:rPr>
            </w:pPr>
          </w:p>
        </w:tc>
        <w:tc>
          <w:tcPr>
            <w:tcW w:w="2127" w:type="dxa"/>
          </w:tcPr>
          <w:p w14:paraId="43B4BC0E">
            <w:pPr>
              <w:snapToGrid w:val="0"/>
              <w:spacing w:line="360" w:lineRule="auto"/>
              <w:ind w:firstLine="315" w:firstLineChars="150"/>
              <w:jc w:val="left"/>
              <w:rPr>
                <w:rFonts w:ascii="宋体"/>
                <w:szCs w:val="21"/>
                <w:highlight w:val="none"/>
              </w:rPr>
            </w:pPr>
          </w:p>
        </w:tc>
        <w:tc>
          <w:tcPr>
            <w:tcW w:w="1559" w:type="dxa"/>
          </w:tcPr>
          <w:p w14:paraId="079F3DBB">
            <w:pPr>
              <w:snapToGrid w:val="0"/>
              <w:spacing w:line="360" w:lineRule="auto"/>
              <w:jc w:val="left"/>
              <w:rPr>
                <w:rFonts w:ascii="宋体"/>
                <w:szCs w:val="21"/>
                <w:highlight w:val="none"/>
              </w:rPr>
            </w:pPr>
          </w:p>
        </w:tc>
        <w:tc>
          <w:tcPr>
            <w:tcW w:w="2835" w:type="dxa"/>
          </w:tcPr>
          <w:p w14:paraId="030FDDD8">
            <w:pPr>
              <w:snapToGrid w:val="0"/>
              <w:spacing w:line="360" w:lineRule="auto"/>
              <w:jc w:val="left"/>
              <w:rPr>
                <w:rFonts w:ascii="宋体"/>
                <w:szCs w:val="21"/>
                <w:highlight w:val="none"/>
              </w:rPr>
            </w:pPr>
          </w:p>
        </w:tc>
      </w:tr>
    </w:tbl>
    <w:p w14:paraId="2A049AFD">
      <w:pPr>
        <w:spacing w:line="360" w:lineRule="auto"/>
        <w:jc w:val="left"/>
        <w:outlineLvl w:val="3"/>
        <w:rPr>
          <w:rFonts w:ascii="宋体"/>
          <w:b/>
          <w:bCs/>
          <w:sz w:val="24"/>
          <w:highlight w:val="none"/>
        </w:rPr>
      </w:pPr>
      <w:bookmarkStart w:id="341" w:name="_Toc527955042"/>
    </w:p>
    <w:p w14:paraId="0DBAAA4A">
      <w:pPr>
        <w:spacing w:line="360" w:lineRule="auto"/>
        <w:jc w:val="left"/>
        <w:outlineLvl w:val="3"/>
        <w:rPr>
          <w:rFonts w:ascii="宋体"/>
          <w:b/>
          <w:bCs/>
          <w:sz w:val="24"/>
          <w:highlight w:val="none"/>
        </w:rPr>
      </w:pPr>
    </w:p>
    <w:p w14:paraId="4D238C35">
      <w:pPr>
        <w:spacing w:line="360" w:lineRule="auto"/>
        <w:jc w:val="left"/>
        <w:outlineLvl w:val="3"/>
        <w:rPr>
          <w:rFonts w:ascii="宋体"/>
          <w:b/>
          <w:bCs/>
          <w:sz w:val="24"/>
          <w:highlight w:val="none"/>
        </w:rPr>
      </w:pPr>
    </w:p>
    <w:bookmarkEnd w:id="341"/>
    <w:p w14:paraId="641A5B6A">
      <w:pPr>
        <w:pStyle w:val="2"/>
        <w:kinsoku w:val="0"/>
        <w:overflowPunct w:val="0"/>
        <w:spacing w:line="417" w:lineRule="auto"/>
        <w:ind w:right="1106"/>
        <w:jc w:val="left"/>
        <w:rPr>
          <w:rFonts w:ascii="Calibri" w:hAnsi="Calibri"/>
          <w:kern w:val="2"/>
          <w:sz w:val="21"/>
          <w:highlight w:val="none"/>
          <w:u w:val="single"/>
        </w:rPr>
        <w:sectPr>
          <w:footerReference r:id="rId13" w:type="default"/>
          <w:pgSz w:w="11910" w:h="16840"/>
          <w:pgMar w:top="1480" w:right="800" w:bottom="1200" w:left="1020" w:header="0" w:footer="1002" w:gutter="0"/>
          <w:cols w:space="720" w:num="1"/>
        </w:sectPr>
      </w:pPr>
    </w:p>
    <w:p w14:paraId="4D74D954">
      <w:pPr>
        <w:spacing w:line="360" w:lineRule="auto"/>
        <w:jc w:val="left"/>
        <w:outlineLvl w:val="3"/>
        <w:rPr>
          <w:rFonts w:hint="eastAsia" w:ascii="宋体" w:hAnsi="宋体"/>
          <w:b/>
          <w:bCs/>
          <w:sz w:val="24"/>
          <w:highlight w:val="none"/>
        </w:rPr>
      </w:pPr>
      <w:r>
        <w:rPr>
          <w:rFonts w:hint="eastAsia" w:ascii="宋体" w:hAnsi="宋体"/>
          <w:b/>
          <w:bCs/>
          <w:sz w:val="24"/>
          <w:highlight w:val="none"/>
        </w:rPr>
        <w:t>附件</w:t>
      </w:r>
      <w:r>
        <w:rPr>
          <w:rFonts w:ascii="宋体" w:hAnsi="宋体"/>
          <w:b/>
          <w:bCs/>
          <w:sz w:val="24"/>
          <w:highlight w:val="none"/>
        </w:rPr>
        <w:t>6</w:t>
      </w:r>
    </w:p>
    <w:p w14:paraId="16C238FF">
      <w:pPr>
        <w:spacing w:line="360" w:lineRule="auto"/>
        <w:jc w:val="left"/>
        <w:outlineLvl w:val="3"/>
        <w:rPr>
          <w:rFonts w:ascii="宋体"/>
          <w:b/>
          <w:bCs/>
          <w:sz w:val="24"/>
          <w:highlight w:val="none"/>
        </w:rPr>
      </w:pPr>
      <w:r>
        <w:rPr>
          <w:rFonts w:hint="eastAsia" w:ascii="宋体" w:hAnsi="宋体"/>
          <w:b/>
          <w:bCs/>
          <w:sz w:val="24"/>
          <w:highlight w:val="none"/>
        </w:rPr>
        <w:t>工程监理服务清单</w:t>
      </w:r>
    </w:p>
    <w:p w14:paraId="34113B12">
      <w:pPr>
        <w:spacing w:line="360" w:lineRule="auto"/>
        <w:jc w:val="left"/>
        <w:outlineLvl w:val="3"/>
        <w:rPr>
          <w:rFonts w:ascii="宋体"/>
          <w:b/>
          <w:bCs/>
          <w:sz w:val="24"/>
          <w:highlight w:val="none"/>
        </w:rPr>
      </w:pPr>
    </w:p>
    <w:tbl>
      <w:tblPr>
        <w:tblStyle w:val="34"/>
        <w:tblpPr w:topFromText="180" w:bottomFromText="180" w:vertAnchor="text" w:tblpX="1" w:tblpYSpec="bottom"/>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205"/>
        <w:gridCol w:w="5670"/>
        <w:gridCol w:w="901"/>
      </w:tblGrid>
      <w:tr w14:paraId="750CE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1413F05E">
            <w:pPr>
              <w:spacing w:line="300" w:lineRule="auto"/>
              <w:jc w:val="left"/>
              <w:rPr>
                <w:rFonts w:ascii="宋体" w:cs="宋体"/>
                <w:szCs w:val="21"/>
                <w:highlight w:val="none"/>
              </w:rPr>
            </w:pPr>
            <w:r>
              <w:rPr>
                <w:rFonts w:hint="eastAsia" w:ascii="宋体" w:hAnsi="宋体" w:cs="宋体"/>
                <w:szCs w:val="21"/>
                <w:highlight w:val="none"/>
              </w:rPr>
              <w:t>序号</w:t>
            </w:r>
          </w:p>
        </w:tc>
        <w:tc>
          <w:tcPr>
            <w:tcW w:w="1205" w:type="dxa"/>
          </w:tcPr>
          <w:p w14:paraId="5BF8FCEB">
            <w:pPr>
              <w:spacing w:line="300" w:lineRule="auto"/>
              <w:jc w:val="left"/>
              <w:rPr>
                <w:rFonts w:ascii="宋体" w:cs="宋体"/>
                <w:szCs w:val="21"/>
                <w:highlight w:val="none"/>
              </w:rPr>
            </w:pPr>
            <w:r>
              <w:rPr>
                <w:rFonts w:hint="eastAsia" w:ascii="宋体" w:hAnsi="宋体" w:cs="宋体"/>
                <w:szCs w:val="21"/>
                <w:highlight w:val="none"/>
              </w:rPr>
              <w:t>服务范围</w:t>
            </w:r>
          </w:p>
        </w:tc>
        <w:tc>
          <w:tcPr>
            <w:tcW w:w="5670" w:type="dxa"/>
          </w:tcPr>
          <w:p w14:paraId="7A0BBB1A">
            <w:pPr>
              <w:spacing w:line="300" w:lineRule="auto"/>
              <w:jc w:val="left"/>
              <w:rPr>
                <w:rFonts w:ascii="宋体" w:cs="宋体"/>
                <w:szCs w:val="21"/>
                <w:highlight w:val="none"/>
              </w:rPr>
            </w:pPr>
            <w:r>
              <w:rPr>
                <w:rFonts w:hint="eastAsia" w:ascii="宋体" w:hAnsi="宋体" w:cs="宋体"/>
                <w:szCs w:val="21"/>
                <w:highlight w:val="none"/>
              </w:rPr>
              <w:t>服务内容</w:t>
            </w:r>
          </w:p>
        </w:tc>
        <w:tc>
          <w:tcPr>
            <w:tcW w:w="901" w:type="dxa"/>
          </w:tcPr>
          <w:p w14:paraId="2F15DEB0">
            <w:pPr>
              <w:spacing w:line="300" w:lineRule="auto"/>
              <w:jc w:val="left"/>
              <w:rPr>
                <w:rFonts w:ascii="宋体" w:cs="宋体"/>
                <w:szCs w:val="21"/>
                <w:highlight w:val="none"/>
              </w:rPr>
            </w:pPr>
            <w:r>
              <w:rPr>
                <w:rFonts w:hint="eastAsia" w:ascii="宋体" w:hAnsi="宋体" w:cs="宋体"/>
                <w:szCs w:val="21"/>
                <w:highlight w:val="none"/>
              </w:rPr>
              <w:t>备注</w:t>
            </w:r>
          </w:p>
        </w:tc>
      </w:tr>
      <w:tr w14:paraId="6B14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0AAF5E6F">
            <w:pPr>
              <w:spacing w:line="300" w:lineRule="auto"/>
              <w:jc w:val="left"/>
              <w:rPr>
                <w:rFonts w:ascii="宋体" w:cs="宋体"/>
                <w:sz w:val="18"/>
                <w:szCs w:val="21"/>
                <w:highlight w:val="none"/>
              </w:rPr>
            </w:pPr>
            <w:r>
              <w:rPr>
                <w:rFonts w:ascii="宋体" w:hAnsi="宋体" w:cs="宋体"/>
                <w:sz w:val="18"/>
                <w:szCs w:val="21"/>
                <w:highlight w:val="none"/>
              </w:rPr>
              <w:t>C</w:t>
            </w:r>
          </w:p>
        </w:tc>
        <w:tc>
          <w:tcPr>
            <w:tcW w:w="1205" w:type="dxa"/>
            <w:vAlign w:val="center"/>
          </w:tcPr>
          <w:p w14:paraId="04C677E8">
            <w:pPr>
              <w:spacing w:line="300" w:lineRule="auto"/>
              <w:jc w:val="left"/>
              <w:rPr>
                <w:rFonts w:ascii="宋体" w:cs="宋体"/>
                <w:sz w:val="18"/>
                <w:szCs w:val="21"/>
                <w:highlight w:val="none"/>
              </w:rPr>
            </w:pPr>
            <w:r>
              <w:rPr>
                <w:rFonts w:hint="eastAsia" w:ascii="宋体" w:hAnsi="宋体" w:cs="宋体"/>
                <w:sz w:val="18"/>
                <w:szCs w:val="21"/>
                <w:highlight w:val="none"/>
              </w:rPr>
              <w:t>工程监理</w:t>
            </w:r>
          </w:p>
        </w:tc>
        <w:tc>
          <w:tcPr>
            <w:tcW w:w="5670" w:type="dxa"/>
          </w:tcPr>
          <w:p w14:paraId="4CF2BFDE">
            <w:pPr>
              <w:widowControl/>
              <w:shd w:val="clear" w:color="auto" w:fill="FFFFFF"/>
              <w:spacing w:line="300" w:lineRule="auto"/>
              <w:jc w:val="left"/>
              <w:rPr>
                <w:rFonts w:cs="宋体"/>
                <w:sz w:val="18"/>
                <w:szCs w:val="21"/>
                <w:highlight w:val="none"/>
              </w:rPr>
            </w:pPr>
            <w:r>
              <w:rPr>
                <w:rFonts w:cs="宋体"/>
                <w:sz w:val="18"/>
                <w:szCs w:val="21"/>
                <w:highlight w:val="none"/>
              </w:rPr>
              <w:t>1</w:t>
            </w:r>
            <w:r>
              <w:rPr>
                <w:rFonts w:hint="eastAsia" w:hAnsi="宋体" w:cs="宋体"/>
                <w:sz w:val="18"/>
                <w:szCs w:val="21"/>
                <w:highlight w:val="none"/>
              </w:rPr>
              <w:t>、编制监理规划及监理实施细则</w:t>
            </w:r>
          </w:p>
          <w:p w14:paraId="17B79785">
            <w:pPr>
              <w:widowControl/>
              <w:shd w:val="clear" w:color="auto" w:fill="FFFFFF"/>
              <w:spacing w:line="300" w:lineRule="auto"/>
              <w:jc w:val="left"/>
              <w:rPr>
                <w:rFonts w:cs="宋体"/>
                <w:sz w:val="18"/>
                <w:szCs w:val="21"/>
                <w:highlight w:val="none"/>
              </w:rPr>
            </w:pPr>
            <w:r>
              <w:rPr>
                <w:rFonts w:cs="宋体"/>
                <w:sz w:val="18"/>
                <w:szCs w:val="21"/>
                <w:highlight w:val="none"/>
              </w:rPr>
              <w:t>2</w:t>
            </w:r>
            <w:r>
              <w:rPr>
                <w:rFonts w:hint="eastAsia" w:hAnsi="宋体" w:cs="宋体"/>
                <w:sz w:val="18"/>
                <w:szCs w:val="21"/>
                <w:highlight w:val="none"/>
              </w:rPr>
              <w:t>、工程监理实施过程中对工程质量、造价、进度控制</w:t>
            </w:r>
          </w:p>
          <w:p w14:paraId="793C840F">
            <w:pPr>
              <w:widowControl/>
              <w:shd w:val="clear" w:color="auto" w:fill="FFFFFF"/>
              <w:spacing w:line="300" w:lineRule="auto"/>
              <w:jc w:val="left"/>
              <w:rPr>
                <w:rFonts w:cs="宋体"/>
                <w:sz w:val="18"/>
                <w:szCs w:val="21"/>
                <w:highlight w:val="none"/>
              </w:rPr>
            </w:pPr>
            <w:r>
              <w:rPr>
                <w:rFonts w:cs="宋体"/>
                <w:sz w:val="18"/>
                <w:szCs w:val="21"/>
                <w:highlight w:val="none"/>
              </w:rPr>
              <w:t>3</w:t>
            </w:r>
            <w:r>
              <w:rPr>
                <w:rFonts w:hint="eastAsia" w:hAnsi="宋体" w:cs="宋体"/>
                <w:sz w:val="18"/>
                <w:szCs w:val="21"/>
                <w:highlight w:val="none"/>
              </w:rPr>
              <w:t>、工程监理实施过程中对工程变更、索赔及施工合同争议的处理</w:t>
            </w:r>
          </w:p>
          <w:p w14:paraId="21A31CE0">
            <w:pPr>
              <w:widowControl/>
              <w:shd w:val="clear" w:color="auto" w:fill="FFFFFF"/>
              <w:spacing w:line="300" w:lineRule="auto"/>
              <w:jc w:val="left"/>
              <w:rPr>
                <w:rFonts w:cs="宋体"/>
                <w:sz w:val="18"/>
                <w:szCs w:val="21"/>
                <w:highlight w:val="none"/>
              </w:rPr>
            </w:pPr>
            <w:r>
              <w:rPr>
                <w:rFonts w:cs="宋体"/>
                <w:sz w:val="18"/>
                <w:szCs w:val="21"/>
                <w:highlight w:val="none"/>
              </w:rPr>
              <w:t>4</w:t>
            </w:r>
            <w:r>
              <w:rPr>
                <w:rFonts w:hint="eastAsia" w:hAnsi="宋体" w:cs="宋体"/>
                <w:sz w:val="18"/>
                <w:szCs w:val="21"/>
                <w:highlight w:val="none"/>
              </w:rPr>
              <w:t>、监理文件资料管理</w:t>
            </w:r>
          </w:p>
          <w:p w14:paraId="099786BC">
            <w:pPr>
              <w:widowControl/>
              <w:shd w:val="clear" w:color="auto" w:fill="FFFFFF"/>
              <w:spacing w:line="300" w:lineRule="auto"/>
              <w:jc w:val="left"/>
              <w:rPr>
                <w:rFonts w:cs="宋体"/>
                <w:sz w:val="18"/>
                <w:szCs w:val="21"/>
                <w:highlight w:val="none"/>
              </w:rPr>
            </w:pPr>
            <w:r>
              <w:rPr>
                <w:rFonts w:cs="宋体"/>
                <w:sz w:val="18"/>
                <w:szCs w:val="21"/>
                <w:highlight w:val="none"/>
              </w:rPr>
              <w:t>5</w:t>
            </w:r>
            <w:r>
              <w:rPr>
                <w:rFonts w:hint="eastAsia" w:hAnsi="宋体" w:cs="宋体"/>
                <w:sz w:val="18"/>
                <w:szCs w:val="21"/>
                <w:highlight w:val="none"/>
              </w:rPr>
              <w:t>、设备采购与设备监造</w:t>
            </w:r>
          </w:p>
          <w:p w14:paraId="1518871B">
            <w:pPr>
              <w:widowControl/>
              <w:shd w:val="clear" w:color="auto" w:fill="FFFFFF"/>
              <w:spacing w:line="300" w:lineRule="auto"/>
              <w:jc w:val="left"/>
              <w:rPr>
                <w:rFonts w:cs="宋体"/>
                <w:sz w:val="18"/>
                <w:szCs w:val="21"/>
                <w:highlight w:val="none"/>
              </w:rPr>
            </w:pPr>
            <w:r>
              <w:rPr>
                <w:rFonts w:cs="宋体"/>
                <w:sz w:val="18"/>
                <w:szCs w:val="21"/>
                <w:highlight w:val="none"/>
              </w:rPr>
              <w:t>6</w:t>
            </w:r>
            <w:r>
              <w:rPr>
                <w:rFonts w:hint="eastAsia" w:hAnsi="宋体" w:cs="宋体"/>
                <w:sz w:val="18"/>
                <w:szCs w:val="21"/>
                <w:highlight w:val="none"/>
              </w:rPr>
              <w:t>、按建设工程监理规范要求服务范围执行</w:t>
            </w:r>
          </w:p>
          <w:p w14:paraId="6903E21C">
            <w:pPr>
              <w:widowControl/>
              <w:shd w:val="clear" w:color="auto" w:fill="FFFFFF"/>
              <w:spacing w:line="300" w:lineRule="auto"/>
              <w:jc w:val="left"/>
              <w:rPr>
                <w:rFonts w:ascii="宋体" w:cs="宋体"/>
                <w:sz w:val="18"/>
                <w:szCs w:val="21"/>
                <w:highlight w:val="none"/>
              </w:rPr>
            </w:pPr>
            <w:r>
              <w:rPr>
                <w:rFonts w:cs="宋体"/>
                <w:sz w:val="18"/>
                <w:szCs w:val="21"/>
                <w:highlight w:val="none"/>
              </w:rPr>
              <w:t>7</w:t>
            </w:r>
            <w:r>
              <w:rPr>
                <w:rFonts w:hint="eastAsia" w:hAnsi="宋体" w:cs="宋体"/>
                <w:sz w:val="18"/>
                <w:szCs w:val="21"/>
                <w:highlight w:val="none"/>
              </w:rPr>
              <w:t>、履行建设工程安全生产管理法定职责、对工程建设相关方进行协调的相关工作内容</w:t>
            </w:r>
          </w:p>
        </w:tc>
        <w:tc>
          <w:tcPr>
            <w:tcW w:w="901" w:type="dxa"/>
          </w:tcPr>
          <w:p w14:paraId="55063B11">
            <w:pPr>
              <w:spacing w:line="300" w:lineRule="auto"/>
              <w:jc w:val="left"/>
              <w:rPr>
                <w:rFonts w:ascii="宋体" w:cs="宋体"/>
                <w:szCs w:val="21"/>
                <w:highlight w:val="none"/>
              </w:rPr>
            </w:pPr>
          </w:p>
        </w:tc>
      </w:tr>
    </w:tbl>
    <w:p w14:paraId="183FD782">
      <w:pPr>
        <w:spacing w:line="360" w:lineRule="auto"/>
        <w:jc w:val="left"/>
        <w:outlineLvl w:val="2"/>
        <w:rPr>
          <w:rFonts w:ascii="宋体"/>
          <w:b/>
          <w:bCs/>
          <w:sz w:val="28"/>
          <w:highlight w:val="none"/>
        </w:rPr>
      </w:pPr>
      <w:r>
        <w:rPr>
          <w:rFonts w:ascii="宋体"/>
          <w:highlight w:val="none"/>
        </w:rPr>
        <w:br w:type="page"/>
      </w:r>
      <w:bookmarkStart w:id="342" w:name="_Toc387244127"/>
      <w:bookmarkStart w:id="343" w:name="_Toc527955047"/>
      <w:r>
        <w:rPr>
          <w:rFonts w:hint="eastAsia" w:ascii="宋体" w:hAnsi="宋体"/>
          <w:b/>
          <w:bCs/>
          <w:sz w:val="28"/>
          <w:highlight w:val="none"/>
        </w:rPr>
        <w:t>技术要求</w:t>
      </w:r>
      <w:r>
        <w:rPr>
          <w:rFonts w:ascii="宋体" w:hAnsi="宋体"/>
          <w:b/>
          <w:bCs/>
          <w:sz w:val="28"/>
          <w:highlight w:val="none"/>
        </w:rPr>
        <w:t>E</w:t>
      </w:r>
      <w:r>
        <w:rPr>
          <w:rFonts w:hint="eastAsia" w:ascii="宋体" w:hAnsi="宋体"/>
          <w:b/>
          <w:bCs/>
          <w:sz w:val="28"/>
          <w:highlight w:val="none"/>
        </w:rPr>
        <w:t>：造价咨询</w:t>
      </w:r>
      <w:bookmarkEnd w:id="342"/>
      <w:bookmarkEnd w:id="343"/>
    </w:p>
    <w:p w14:paraId="643B5AC9">
      <w:pPr>
        <w:spacing w:line="360" w:lineRule="auto"/>
        <w:ind w:firstLine="422" w:firstLineChars="200"/>
        <w:jc w:val="left"/>
        <w:outlineLvl w:val="3"/>
        <w:rPr>
          <w:rFonts w:ascii="宋体" w:cs="宋体"/>
          <w:b/>
          <w:szCs w:val="21"/>
          <w:highlight w:val="none"/>
        </w:rPr>
      </w:pPr>
      <w:bookmarkStart w:id="344" w:name="_Toc478380062"/>
      <w:bookmarkStart w:id="345" w:name="_Toc478373457"/>
      <w:bookmarkStart w:id="346" w:name="_Toc522389786"/>
      <w:bookmarkStart w:id="347" w:name="_Toc527955048"/>
      <w:bookmarkStart w:id="348" w:name="_Toc509302697"/>
      <w:bookmarkStart w:id="349" w:name="_Toc521351597"/>
      <w:r>
        <w:rPr>
          <w:rFonts w:ascii="宋体" w:hAnsi="宋体" w:cs="宋体"/>
          <w:b/>
          <w:szCs w:val="21"/>
          <w:highlight w:val="none"/>
        </w:rPr>
        <w:t xml:space="preserve">1. </w:t>
      </w:r>
      <w:r>
        <w:rPr>
          <w:rFonts w:hint="eastAsia" w:ascii="宋体" w:hAnsi="宋体" w:cs="宋体"/>
          <w:b/>
          <w:szCs w:val="21"/>
          <w:highlight w:val="none"/>
        </w:rPr>
        <w:t>受托人的义务</w:t>
      </w:r>
      <w:bookmarkEnd w:id="344"/>
      <w:bookmarkEnd w:id="345"/>
      <w:bookmarkEnd w:id="346"/>
      <w:bookmarkEnd w:id="347"/>
      <w:bookmarkEnd w:id="348"/>
      <w:bookmarkEnd w:id="349"/>
    </w:p>
    <w:p w14:paraId="5416B293">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1.1 </w:t>
      </w:r>
      <w:r>
        <w:rPr>
          <w:rFonts w:hint="eastAsia" w:ascii="宋体" w:hAnsi="宋体" w:cs="宋体"/>
          <w:bCs/>
          <w:szCs w:val="21"/>
          <w:highlight w:val="none"/>
        </w:rPr>
        <w:t>造价咨询的范围和工作要求</w:t>
      </w:r>
    </w:p>
    <w:p w14:paraId="05CD9E47">
      <w:pPr>
        <w:spacing w:line="400" w:lineRule="exact"/>
        <w:ind w:firstLine="420" w:firstLineChars="200"/>
        <w:jc w:val="left"/>
        <w:rPr>
          <w:rFonts w:ascii="宋体"/>
          <w:szCs w:val="21"/>
          <w:highlight w:val="none"/>
        </w:rPr>
      </w:pPr>
      <w:r>
        <w:rPr>
          <w:rFonts w:ascii="宋体" w:hAnsi="宋体"/>
          <w:szCs w:val="21"/>
          <w:highlight w:val="none"/>
        </w:rPr>
        <w:t xml:space="preserve">1.1.1 </w:t>
      </w:r>
      <w:r>
        <w:rPr>
          <w:rFonts w:hint="eastAsia" w:ascii="宋体" w:hAnsi="宋体"/>
          <w:szCs w:val="21"/>
          <w:highlight w:val="none"/>
        </w:rPr>
        <w:t>造价咨询的范围：</w:t>
      </w:r>
    </w:p>
    <w:p w14:paraId="3C3DBA59">
      <w:pPr>
        <w:spacing w:line="400" w:lineRule="exact"/>
        <w:ind w:firstLine="420" w:firstLineChars="200"/>
        <w:jc w:val="left"/>
        <w:rPr>
          <w:rFonts w:ascii="宋体"/>
          <w:szCs w:val="21"/>
          <w:highlight w:val="none"/>
        </w:rPr>
      </w:pPr>
      <w:r>
        <w:rPr>
          <w:rFonts w:hint="eastAsia" w:ascii="宋体" w:hAnsi="宋体"/>
          <w:szCs w:val="21"/>
          <w:highlight w:val="none"/>
        </w:rPr>
        <w:t>（可参考附件</w:t>
      </w:r>
      <w:r>
        <w:rPr>
          <w:rFonts w:ascii="宋体" w:hAnsi="宋体"/>
          <w:szCs w:val="21"/>
          <w:highlight w:val="none"/>
        </w:rPr>
        <w:t>8</w:t>
      </w:r>
      <w:r>
        <w:rPr>
          <w:rFonts w:hint="eastAsia" w:ascii="宋体" w:hAnsi="宋体"/>
          <w:szCs w:val="21"/>
          <w:highlight w:val="none"/>
        </w:rPr>
        <w:t>：造价咨询服务清单，或附件</w:t>
      </w:r>
      <w:r>
        <w:rPr>
          <w:rFonts w:ascii="宋体" w:hAnsi="宋体"/>
          <w:szCs w:val="21"/>
          <w:highlight w:val="none"/>
        </w:rPr>
        <w:t>9</w:t>
      </w:r>
      <w:r>
        <w:rPr>
          <w:rFonts w:hint="eastAsia" w:ascii="宋体" w:hAnsi="宋体"/>
          <w:szCs w:val="21"/>
          <w:highlight w:val="none"/>
        </w:rPr>
        <w:t>：造价咨询服务范围及工作内容、酬金一览表）</w:t>
      </w:r>
    </w:p>
    <w:p w14:paraId="2722B6C9">
      <w:pPr>
        <w:spacing w:line="400" w:lineRule="exact"/>
        <w:ind w:firstLine="420" w:firstLineChars="200"/>
        <w:jc w:val="left"/>
        <w:rPr>
          <w:rFonts w:ascii="宋体"/>
          <w:szCs w:val="21"/>
          <w:highlight w:val="none"/>
        </w:rPr>
      </w:pPr>
      <w:r>
        <w:rPr>
          <w:rFonts w:ascii="宋体" w:hAnsi="宋体"/>
          <w:szCs w:val="21"/>
          <w:highlight w:val="none"/>
        </w:rPr>
        <w:t xml:space="preserve">1.1.2 </w:t>
      </w:r>
      <w:r>
        <w:rPr>
          <w:rFonts w:hint="eastAsia" w:ascii="宋体" w:hAnsi="宋体"/>
          <w:szCs w:val="21"/>
          <w:highlight w:val="none"/>
        </w:rPr>
        <w:t>造价咨询的工作要求</w:t>
      </w:r>
    </w:p>
    <w:p w14:paraId="79CAF74F">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w:t>
      </w:r>
      <w:r>
        <w:rPr>
          <w:rFonts w:ascii="宋体" w:hAnsi="宋体"/>
          <w:szCs w:val="21"/>
          <w:highlight w:val="none"/>
        </w:rPr>
        <w:t xml:space="preserve"> </w:t>
      </w:r>
      <w:r>
        <w:rPr>
          <w:rFonts w:hint="eastAsia" w:ascii="宋体" w:hAnsi="宋体"/>
          <w:szCs w:val="21"/>
          <w:highlight w:val="none"/>
        </w:rPr>
        <w:t>受托人应当及时向委托人提供与工程造价咨询业务有关的资料，包括承担本合同业务的团队人员名单及执业（从业）资格证书、咨询工作大纲等，并按合同约定的服务范围和工作内容实施咨询业务。</w:t>
      </w:r>
    </w:p>
    <w:p w14:paraId="7A7E9E0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）受托人应当按照附件</w:t>
      </w:r>
      <w:r>
        <w:rPr>
          <w:rFonts w:ascii="宋体" w:hAnsi="宋体"/>
          <w:szCs w:val="21"/>
          <w:highlight w:val="none"/>
        </w:rPr>
        <w:t>9</w:t>
      </w:r>
      <w:r>
        <w:rPr>
          <w:rFonts w:hint="eastAsia" w:ascii="宋体" w:hAnsi="宋体"/>
          <w:szCs w:val="21"/>
          <w:highlight w:val="none"/>
        </w:rPr>
        <w:t>约定的时间、份数、组成向委托人提交咨询成果文件。</w:t>
      </w:r>
    </w:p>
    <w:p w14:paraId="6681C7B6">
      <w:pPr>
        <w:spacing w:line="400" w:lineRule="exact"/>
        <w:ind w:firstLine="420" w:firstLineChars="200"/>
        <w:jc w:val="left"/>
        <w:rPr>
          <w:rFonts w:ascii="宋体"/>
          <w:szCs w:val="21"/>
          <w:highlight w:val="none"/>
        </w:rPr>
      </w:pPr>
      <w:r>
        <w:rPr>
          <w:rFonts w:hint="eastAsia" w:ascii="宋体" w:hAnsi="宋体"/>
          <w:szCs w:val="21"/>
          <w:highlight w:val="none"/>
        </w:rPr>
        <w:t>受托人提供造价咨询服务以及出具工程造价咨询成果文件应符合现行国家或行业有关规定、标准、规范的要求。</w:t>
      </w:r>
    </w:p>
    <w:p w14:paraId="1BD7887B">
      <w:pPr>
        <w:spacing w:line="400" w:lineRule="exact"/>
        <w:ind w:firstLine="420" w:firstLineChars="200"/>
        <w:jc w:val="left"/>
        <w:rPr>
          <w:rFonts w:ascii="宋体"/>
          <w:szCs w:val="21"/>
          <w:highlight w:val="none"/>
        </w:rPr>
      </w:pPr>
      <w:r>
        <w:rPr>
          <w:rFonts w:hint="eastAsia" w:ascii="宋体" w:hAnsi="宋体"/>
          <w:szCs w:val="21"/>
          <w:highlight w:val="none"/>
        </w:rPr>
        <w:t>委托人要求的工程造价咨询成果质量标准：</w:t>
      </w:r>
      <w:r>
        <w:rPr>
          <w:rFonts w:ascii="宋体" w:hAnsi="宋体"/>
          <w:szCs w:val="21"/>
          <w:highlight w:val="none"/>
          <w:u w:val="single"/>
        </w:rPr>
        <w:t xml:space="preserve">                                </w:t>
      </w:r>
      <w:r>
        <w:rPr>
          <w:rFonts w:hint="eastAsia" w:ascii="宋体" w:hAnsi="宋体"/>
          <w:szCs w:val="21"/>
          <w:highlight w:val="none"/>
        </w:rPr>
        <w:t>。</w:t>
      </w:r>
    </w:p>
    <w:p w14:paraId="369B97B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）受托人提交的工程造价咨询成果文件，除加盖受托人单位公章、工程造价咨询企业执业印章外，还必须按要求加盖参加咨询工作人员的执业（从业）资格印章。</w:t>
      </w:r>
    </w:p>
    <w:p w14:paraId="0A18612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）受托人应在双方约定的时间内，对委托人以书面形式提出的建议或者异议给予书面答复。</w:t>
      </w:r>
    </w:p>
    <w:p w14:paraId="64542A46">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）受托人从事工程造价咨询活动，应当遵循独立、客观、公正、诚实信用的原则，不得损害社会公共利益和他人的合法权益。</w:t>
      </w:r>
    </w:p>
    <w:p w14:paraId="0BE6AB1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w:t>
      </w:r>
      <w:r>
        <w:rPr>
          <w:rFonts w:ascii="宋体" w:hAnsi="宋体"/>
          <w:szCs w:val="21"/>
          <w:highlight w:val="none"/>
        </w:rPr>
        <w:t>6</w:t>
      </w:r>
      <w:r>
        <w:rPr>
          <w:rFonts w:hint="eastAsia" w:ascii="宋体" w:hAnsi="宋体"/>
          <w:szCs w:val="21"/>
          <w:highlight w:val="none"/>
        </w:rPr>
        <w:t>）受托人按照法律规定及合同约定，完成合同范围内的建设工程造价咨询审核，不转包承接的造价咨询服务业务。</w:t>
      </w:r>
    </w:p>
    <w:p w14:paraId="2B3EDEF6">
      <w:pPr>
        <w:spacing w:line="360" w:lineRule="auto"/>
        <w:ind w:firstLine="210" w:firstLineChars="100"/>
        <w:jc w:val="left"/>
        <w:rPr>
          <w:rFonts w:ascii="宋体" w:cs="宋体"/>
          <w:bCs/>
          <w:szCs w:val="21"/>
          <w:highlight w:val="none"/>
        </w:rPr>
      </w:pPr>
      <w:r>
        <w:rPr>
          <w:rFonts w:ascii="宋体" w:hAnsi="宋体" w:cs="宋体"/>
          <w:szCs w:val="21"/>
          <w:highlight w:val="none"/>
        </w:rPr>
        <w:t xml:space="preserve">1.2 </w:t>
      </w:r>
      <w:r>
        <w:rPr>
          <w:rFonts w:hint="eastAsia" w:ascii="宋体" w:hAnsi="宋体" w:cs="宋体"/>
          <w:bCs/>
          <w:szCs w:val="21"/>
          <w:highlight w:val="none"/>
        </w:rPr>
        <w:t>造价咨询工作依据</w:t>
      </w:r>
    </w:p>
    <w:p w14:paraId="25FC4708">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1.2.1</w:t>
      </w:r>
      <w:r>
        <w:rPr>
          <w:rFonts w:hint="eastAsia" w:ascii="宋体" w:hAnsi="宋体" w:cs="宋体"/>
          <w:szCs w:val="21"/>
          <w:highlight w:val="none"/>
        </w:rPr>
        <w:t>依据包括：</w:t>
      </w:r>
    </w:p>
    <w:p w14:paraId="5A3DB234">
      <w:pPr>
        <w:spacing w:line="400" w:lineRule="exact"/>
        <w:ind w:firstLine="420" w:firstLineChars="200"/>
        <w:jc w:val="left"/>
        <w:rPr>
          <w:rFonts w:ascii="宋体"/>
          <w:szCs w:val="21"/>
          <w:highlight w:val="none"/>
        </w:rPr>
      </w:pPr>
      <w:r>
        <w:rPr>
          <w:rFonts w:hint="eastAsia" w:ascii="宋体" w:hAnsi="宋体"/>
          <w:szCs w:val="21"/>
          <w:highlight w:val="none"/>
        </w:rPr>
        <w:t>受托人应与委托人协商明确履行本合同约定的咨询服务需要适用的技术标准、规范、定额等工作依据，但不得违反国家及工程所在地的强制性标准、规范。</w:t>
      </w:r>
    </w:p>
    <w:p w14:paraId="0BEA6CD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受托人应自行配备本条所述的技术标准、规范、定额等相关资料。需要委托人协助才能获得的资料，委托人应予以协助。</w:t>
      </w:r>
    </w:p>
    <w:p w14:paraId="3FD84CB9">
      <w:pPr>
        <w:spacing w:line="400" w:lineRule="exact"/>
        <w:jc w:val="left"/>
        <w:rPr>
          <w:rFonts w:hint="eastAsia" w:ascii="宋体" w:hAnsi="宋体"/>
          <w:szCs w:val="21"/>
          <w:highlight w:val="none"/>
        </w:rPr>
      </w:pPr>
    </w:p>
    <w:p w14:paraId="68043AF5">
      <w:pPr>
        <w:spacing w:line="360" w:lineRule="auto"/>
        <w:jc w:val="left"/>
        <w:rPr>
          <w:rFonts w:hint="eastAsia" w:ascii="宋体" w:hAnsi="宋体"/>
          <w:b/>
          <w:szCs w:val="21"/>
          <w:highlight w:val="none"/>
        </w:rPr>
      </w:pPr>
      <w:r>
        <w:rPr>
          <w:rFonts w:hint="eastAsia" w:ascii="宋体" w:hAnsi="宋体"/>
          <w:b/>
          <w:szCs w:val="21"/>
          <w:highlight w:val="none"/>
        </w:rPr>
        <w:t>2</w:t>
      </w:r>
      <w:r>
        <w:rPr>
          <w:rFonts w:ascii="宋体" w:hAnsi="宋体"/>
          <w:b/>
          <w:szCs w:val="21"/>
          <w:highlight w:val="none"/>
        </w:rPr>
        <w:t>.</w:t>
      </w:r>
      <w:r>
        <w:rPr>
          <w:b/>
          <w:highlight w:val="none"/>
        </w:rPr>
        <w:t xml:space="preserve"> </w:t>
      </w:r>
      <w:r>
        <w:rPr>
          <w:rFonts w:hint="eastAsia" w:ascii="宋体" w:hAnsi="宋体" w:cs="宋体"/>
          <w:b/>
          <w:bCs/>
          <w:szCs w:val="21"/>
          <w:highlight w:val="none"/>
        </w:rPr>
        <w:t>造价咨询服务费用</w:t>
      </w:r>
      <w:r>
        <w:rPr>
          <w:rFonts w:hint="eastAsia" w:ascii="宋体" w:hAnsi="宋体"/>
          <w:b/>
          <w:szCs w:val="21"/>
          <w:highlight w:val="none"/>
        </w:rPr>
        <w:t>支付</w:t>
      </w:r>
    </w:p>
    <w:tbl>
      <w:tblPr>
        <w:tblStyle w:val="34"/>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3976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center"/>
          </w:tcPr>
          <w:p w14:paraId="0556BC79">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vAlign w:val="center"/>
          </w:tcPr>
          <w:p w14:paraId="6B891DE9">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064D5714">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vAlign w:val="center"/>
          </w:tcPr>
          <w:p w14:paraId="60124F3D">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561C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1BDB22DF">
            <w:pPr>
              <w:snapToGrid w:val="0"/>
              <w:spacing w:line="360" w:lineRule="auto"/>
              <w:jc w:val="left"/>
              <w:rPr>
                <w:rFonts w:ascii="宋体"/>
                <w:szCs w:val="21"/>
                <w:highlight w:val="none"/>
              </w:rPr>
            </w:pPr>
          </w:p>
        </w:tc>
        <w:tc>
          <w:tcPr>
            <w:tcW w:w="2127" w:type="dxa"/>
          </w:tcPr>
          <w:p w14:paraId="40D5745E">
            <w:pPr>
              <w:snapToGrid w:val="0"/>
              <w:spacing w:line="360" w:lineRule="auto"/>
              <w:jc w:val="left"/>
              <w:rPr>
                <w:rFonts w:ascii="宋体"/>
                <w:szCs w:val="21"/>
                <w:highlight w:val="none"/>
              </w:rPr>
            </w:pPr>
          </w:p>
        </w:tc>
        <w:tc>
          <w:tcPr>
            <w:tcW w:w="1559" w:type="dxa"/>
          </w:tcPr>
          <w:p w14:paraId="57DE0C32">
            <w:pPr>
              <w:snapToGrid w:val="0"/>
              <w:spacing w:line="360" w:lineRule="auto"/>
              <w:jc w:val="left"/>
              <w:rPr>
                <w:rFonts w:ascii="宋体"/>
                <w:szCs w:val="21"/>
                <w:highlight w:val="none"/>
              </w:rPr>
            </w:pPr>
          </w:p>
        </w:tc>
        <w:tc>
          <w:tcPr>
            <w:tcW w:w="2835" w:type="dxa"/>
          </w:tcPr>
          <w:p w14:paraId="7C86B007">
            <w:pPr>
              <w:snapToGrid w:val="0"/>
              <w:spacing w:line="360" w:lineRule="auto"/>
              <w:jc w:val="left"/>
              <w:rPr>
                <w:rFonts w:ascii="宋体"/>
                <w:szCs w:val="21"/>
                <w:highlight w:val="none"/>
              </w:rPr>
            </w:pPr>
          </w:p>
        </w:tc>
      </w:tr>
      <w:tr w14:paraId="23157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BA7B288">
            <w:pPr>
              <w:snapToGrid w:val="0"/>
              <w:spacing w:line="360" w:lineRule="auto"/>
              <w:jc w:val="left"/>
              <w:rPr>
                <w:rFonts w:ascii="宋体"/>
                <w:szCs w:val="21"/>
                <w:highlight w:val="none"/>
              </w:rPr>
            </w:pPr>
          </w:p>
        </w:tc>
        <w:tc>
          <w:tcPr>
            <w:tcW w:w="2127" w:type="dxa"/>
          </w:tcPr>
          <w:p w14:paraId="3B78CCBF">
            <w:pPr>
              <w:snapToGrid w:val="0"/>
              <w:spacing w:line="360" w:lineRule="auto"/>
              <w:ind w:firstLine="315" w:firstLineChars="150"/>
              <w:jc w:val="left"/>
              <w:rPr>
                <w:rFonts w:ascii="宋体"/>
                <w:szCs w:val="21"/>
                <w:highlight w:val="none"/>
              </w:rPr>
            </w:pPr>
          </w:p>
        </w:tc>
        <w:tc>
          <w:tcPr>
            <w:tcW w:w="1559" w:type="dxa"/>
          </w:tcPr>
          <w:p w14:paraId="24537DDA">
            <w:pPr>
              <w:snapToGrid w:val="0"/>
              <w:spacing w:line="360" w:lineRule="auto"/>
              <w:jc w:val="left"/>
              <w:rPr>
                <w:rFonts w:ascii="宋体"/>
                <w:szCs w:val="21"/>
                <w:highlight w:val="none"/>
              </w:rPr>
            </w:pPr>
          </w:p>
        </w:tc>
        <w:tc>
          <w:tcPr>
            <w:tcW w:w="2835" w:type="dxa"/>
          </w:tcPr>
          <w:p w14:paraId="320FCC18">
            <w:pPr>
              <w:snapToGrid w:val="0"/>
              <w:spacing w:line="360" w:lineRule="auto"/>
              <w:ind w:firstLine="735" w:firstLineChars="350"/>
              <w:jc w:val="left"/>
              <w:rPr>
                <w:rFonts w:ascii="宋体"/>
                <w:szCs w:val="21"/>
                <w:highlight w:val="none"/>
              </w:rPr>
            </w:pPr>
          </w:p>
        </w:tc>
      </w:tr>
      <w:tr w14:paraId="0BBD9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A30B679">
            <w:pPr>
              <w:snapToGrid w:val="0"/>
              <w:spacing w:line="360" w:lineRule="auto"/>
              <w:jc w:val="left"/>
              <w:rPr>
                <w:rFonts w:ascii="宋体"/>
                <w:szCs w:val="21"/>
                <w:highlight w:val="none"/>
              </w:rPr>
            </w:pPr>
          </w:p>
        </w:tc>
        <w:tc>
          <w:tcPr>
            <w:tcW w:w="2127" w:type="dxa"/>
          </w:tcPr>
          <w:p w14:paraId="09D4FDED">
            <w:pPr>
              <w:snapToGrid w:val="0"/>
              <w:spacing w:line="360" w:lineRule="auto"/>
              <w:ind w:firstLine="315" w:firstLineChars="150"/>
              <w:jc w:val="left"/>
              <w:rPr>
                <w:rFonts w:ascii="宋体"/>
                <w:szCs w:val="21"/>
                <w:highlight w:val="none"/>
              </w:rPr>
            </w:pPr>
          </w:p>
        </w:tc>
        <w:tc>
          <w:tcPr>
            <w:tcW w:w="1559" w:type="dxa"/>
          </w:tcPr>
          <w:p w14:paraId="4B1E28E4">
            <w:pPr>
              <w:snapToGrid w:val="0"/>
              <w:spacing w:line="360" w:lineRule="auto"/>
              <w:jc w:val="left"/>
              <w:rPr>
                <w:rFonts w:ascii="宋体"/>
                <w:szCs w:val="21"/>
                <w:highlight w:val="none"/>
              </w:rPr>
            </w:pPr>
          </w:p>
        </w:tc>
        <w:tc>
          <w:tcPr>
            <w:tcW w:w="2835" w:type="dxa"/>
          </w:tcPr>
          <w:p w14:paraId="5F138AB8">
            <w:pPr>
              <w:snapToGrid w:val="0"/>
              <w:spacing w:line="360" w:lineRule="auto"/>
              <w:jc w:val="left"/>
              <w:rPr>
                <w:rFonts w:ascii="宋体"/>
                <w:szCs w:val="21"/>
                <w:highlight w:val="none"/>
              </w:rPr>
            </w:pPr>
          </w:p>
        </w:tc>
      </w:tr>
    </w:tbl>
    <w:p w14:paraId="02767CFB">
      <w:pPr>
        <w:spacing w:line="360" w:lineRule="auto"/>
        <w:jc w:val="left"/>
        <w:rPr>
          <w:rFonts w:ascii="宋体"/>
          <w:b/>
          <w:szCs w:val="21"/>
          <w:highlight w:val="none"/>
        </w:rPr>
      </w:pPr>
    </w:p>
    <w:p w14:paraId="3526A821">
      <w:pPr>
        <w:spacing w:line="400" w:lineRule="exact"/>
        <w:jc w:val="left"/>
        <w:rPr>
          <w:rFonts w:ascii="宋体"/>
          <w:szCs w:val="21"/>
          <w:highlight w:val="none"/>
        </w:rPr>
        <w:sectPr>
          <w:footerReference r:id="rId14" w:type="default"/>
          <w:pgSz w:w="11906" w:h="16838"/>
          <w:pgMar w:top="1418" w:right="1418" w:bottom="1418" w:left="1474" w:header="851" w:footer="992" w:gutter="0"/>
          <w:pgNumType w:fmt="numberInDash"/>
          <w:cols w:space="720" w:num="1"/>
          <w:docGrid w:type="lines" w:linePitch="286" w:charSpace="0"/>
        </w:sectPr>
      </w:pPr>
    </w:p>
    <w:p w14:paraId="636D13B6">
      <w:pPr>
        <w:spacing w:line="360" w:lineRule="auto"/>
        <w:jc w:val="left"/>
        <w:outlineLvl w:val="3"/>
        <w:rPr>
          <w:rFonts w:ascii="宋体"/>
          <w:b/>
          <w:bCs/>
          <w:sz w:val="24"/>
          <w:highlight w:val="none"/>
        </w:rPr>
      </w:pPr>
      <w:r>
        <w:rPr>
          <w:rFonts w:hint="eastAsia" w:ascii="宋体" w:hAnsi="宋体"/>
          <w:b/>
          <w:bCs/>
          <w:sz w:val="24"/>
          <w:highlight w:val="none"/>
        </w:rPr>
        <w:t>附件9</w:t>
      </w:r>
    </w:p>
    <w:p w14:paraId="6A9A0EBF">
      <w:pPr>
        <w:spacing w:line="360" w:lineRule="auto"/>
        <w:jc w:val="left"/>
        <w:outlineLvl w:val="3"/>
        <w:rPr>
          <w:rFonts w:ascii="宋体"/>
          <w:b/>
          <w:bCs/>
          <w:sz w:val="24"/>
          <w:highlight w:val="none"/>
        </w:rPr>
      </w:pPr>
      <w:r>
        <w:rPr>
          <w:rFonts w:hint="eastAsia" w:ascii="宋体" w:hAnsi="宋体"/>
          <w:b/>
          <w:bCs/>
          <w:sz w:val="24"/>
          <w:highlight w:val="none"/>
        </w:rPr>
        <w:t>造价咨询服务范围及工作内容、酬金一览表</w:t>
      </w:r>
    </w:p>
    <w:tbl>
      <w:tblPr>
        <w:tblStyle w:val="34"/>
        <w:tblW w:w="14174"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5"/>
        <w:gridCol w:w="1485"/>
        <w:gridCol w:w="2565"/>
        <w:gridCol w:w="2024"/>
        <w:gridCol w:w="2024"/>
        <w:gridCol w:w="2744"/>
        <w:gridCol w:w="1307"/>
      </w:tblGrid>
      <w:tr w14:paraId="04218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3334A93A">
            <w:pPr>
              <w:spacing w:line="400" w:lineRule="exact"/>
              <w:jc w:val="left"/>
              <w:rPr>
                <w:rFonts w:ascii="宋体"/>
                <w:b/>
                <w:szCs w:val="21"/>
                <w:highlight w:val="none"/>
              </w:rPr>
            </w:pPr>
            <w:r>
              <w:rPr>
                <w:rFonts w:hint="eastAsia" w:ascii="宋体" w:hAnsi="宋体"/>
                <w:b/>
                <w:szCs w:val="21"/>
                <w:highlight w:val="none"/>
              </w:rPr>
              <w:t>服务阶段</w:t>
            </w:r>
          </w:p>
        </w:tc>
        <w:tc>
          <w:tcPr>
            <w:tcW w:w="4050" w:type="dxa"/>
            <w:gridSpan w:val="2"/>
          </w:tcPr>
          <w:p w14:paraId="064CE8DF">
            <w:pPr>
              <w:spacing w:line="400" w:lineRule="exact"/>
              <w:jc w:val="left"/>
              <w:rPr>
                <w:rFonts w:ascii="宋体"/>
                <w:b/>
                <w:szCs w:val="21"/>
                <w:highlight w:val="none"/>
              </w:rPr>
            </w:pPr>
            <w:r>
              <w:rPr>
                <w:rFonts w:hint="eastAsia" w:ascii="宋体" w:hAnsi="宋体"/>
                <w:b/>
                <w:szCs w:val="21"/>
                <w:highlight w:val="none"/>
              </w:rPr>
              <w:t>服务范围及工作内容</w:t>
            </w:r>
          </w:p>
        </w:tc>
        <w:tc>
          <w:tcPr>
            <w:tcW w:w="6792" w:type="dxa"/>
            <w:gridSpan w:val="3"/>
          </w:tcPr>
          <w:p w14:paraId="4F8E5B79">
            <w:pPr>
              <w:spacing w:line="400" w:lineRule="exact"/>
              <w:jc w:val="left"/>
              <w:rPr>
                <w:rFonts w:ascii="宋体"/>
                <w:b/>
                <w:szCs w:val="21"/>
                <w:highlight w:val="none"/>
              </w:rPr>
            </w:pPr>
            <w:r>
              <w:rPr>
                <w:rFonts w:hint="eastAsia" w:ascii="宋体" w:hAnsi="宋体"/>
                <w:b/>
                <w:szCs w:val="21"/>
                <w:highlight w:val="none"/>
              </w:rPr>
              <w:t>酬金</w:t>
            </w:r>
          </w:p>
        </w:tc>
        <w:tc>
          <w:tcPr>
            <w:tcW w:w="1307" w:type="dxa"/>
            <w:vMerge w:val="restart"/>
          </w:tcPr>
          <w:p w14:paraId="23580E18">
            <w:pPr>
              <w:spacing w:line="400" w:lineRule="exact"/>
              <w:jc w:val="left"/>
              <w:rPr>
                <w:rFonts w:ascii="宋体"/>
                <w:b/>
                <w:szCs w:val="21"/>
                <w:highlight w:val="none"/>
              </w:rPr>
            </w:pPr>
            <w:r>
              <w:rPr>
                <w:rFonts w:hint="eastAsia" w:ascii="宋体" w:hAnsi="宋体"/>
                <w:b/>
                <w:szCs w:val="21"/>
                <w:highlight w:val="none"/>
              </w:rPr>
              <w:t>备注</w:t>
            </w:r>
          </w:p>
        </w:tc>
      </w:tr>
      <w:tr w14:paraId="5C0FD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43BD63D">
            <w:pPr>
              <w:spacing w:line="400" w:lineRule="exact"/>
              <w:jc w:val="left"/>
              <w:rPr>
                <w:rFonts w:ascii="宋体"/>
                <w:b/>
                <w:szCs w:val="21"/>
                <w:highlight w:val="none"/>
              </w:rPr>
            </w:pPr>
          </w:p>
        </w:tc>
        <w:tc>
          <w:tcPr>
            <w:tcW w:w="1485" w:type="dxa"/>
          </w:tcPr>
          <w:p w14:paraId="56969A81">
            <w:pPr>
              <w:spacing w:line="400" w:lineRule="exact"/>
              <w:jc w:val="left"/>
              <w:rPr>
                <w:rFonts w:ascii="宋体"/>
                <w:b/>
                <w:szCs w:val="21"/>
                <w:highlight w:val="none"/>
              </w:rPr>
            </w:pPr>
            <w:r>
              <w:rPr>
                <w:rFonts w:hint="eastAsia" w:ascii="宋体" w:hAnsi="宋体"/>
                <w:b/>
                <w:szCs w:val="21"/>
                <w:highlight w:val="none"/>
              </w:rPr>
              <w:t>服务范围</w:t>
            </w:r>
          </w:p>
        </w:tc>
        <w:tc>
          <w:tcPr>
            <w:tcW w:w="2565" w:type="dxa"/>
          </w:tcPr>
          <w:p w14:paraId="6AB2377A">
            <w:pPr>
              <w:spacing w:line="400" w:lineRule="exact"/>
              <w:jc w:val="left"/>
              <w:rPr>
                <w:rFonts w:ascii="宋体"/>
                <w:b/>
                <w:szCs w:val="21"/>
                <w:highlight w:val="none"/>
              </w:rPr>
            </w:pPr>
            <w:r>
              <w:rPr>
                <w:rFonts w:hint="eastAsia" w:ascii="宋体" w:hAnsi="宋体"/>
                <w:b/>
                <w:szCs w:val="21"/>
                <w:highlight w:val="none"/>
              </w:rPr>
              <w:t>工作内容</w:t>
            </w:r>
          </w:p>
        </w:tc>
        <w:tc>
          <w:tcPr>
            <w:tcW w:w="2024" w:type="dxa"/>
          </w:tcPr>
          <w:p w14:paraId="520743BF">
            <w:pPr>
              <w:spacing w:line="400" w:lineRule="exact"/>
              <w:jc w:val="left"/>
              <w:rPr>
                <w:rFonts w:ascii="宋体"/>
                <w:b/>
                <w:szCs w:val="21"/>
                <w:highlight w:val="none"/>
              </w:rPr>
            </w:pPr>
            <w:r>
              <w:rPr>
                <w:rFonts w:hint="eastAsia" w:ascii="宋体" w:hAnsi="宋体"/>
                <w:b/>
                <w:szCs w:val="21"/>
                <w:highlight w:val="none"/>
              </w:rPr>
              <w:t>收费基数</w:t>
            </w:r>
          </w:p>
        </w:tc>
        <w:tc>
          <w:tcPr>
            <w:tcW w:w="2024" w:type="dxa"/>
          </w:tcPr>
          <w:p w14:paraId="7BBEDCF6">
            <w:pPr>
              <w:spacing w:line="400" w:lineRule="exact"/>
              <w:jc w:val="left"/>
              <w:rPr>
                <w:rFonts w:ascii="宋体"/>
                <w:b/>
                <w:szCs w:val="21"/>
                <w:highlight w:val="none"/>
              </w:rPr>
            </w:pPr>
            <w:r>
              <w:rPr>
                <w:rFonts w:hint="eastAsia" w:ascii="宋体" w:hAnsi="宋体"/>
                <w:b/>
                <w:szCs w:val="21"/>
                <w:highlight w:val="none"/>
              </w:rPr>
              <w:t>收费标准（比例）</w:t>
            </w:r>
          </w:p>
        </w:tc>
        <w:tc>
          <w:tcPr>
            <w:tcW w:w="2744" w:type="dxa"/>
          </w:tcPr>
          <w:p w14:paraId="642FBCC1">
            <w:pPr>
              <w:spacing w:line="400" w:lineRule="exact"/>
              <w:jc w:val="left"/>
              <w:rPr>
                <w:rFonts w:ascii="宋体"/>
                <w:b/>
                <w:szCs w:val="21"/>
                <w:highlight w:val="none"/>
              </w:rPr>
            </w:pPr>
            <w:r>
              <w:rPr>
                <w:rFonts w:hint="eastAsia" w:ascii="宋体" w:hAnsi="宋体"/>
                <w:b/>
                <w:szCs w:val="21"/>
                <w:highlight w:val="none"/>
              </w:rPr>
              <w:t>酬金数额（单位：万元）</w:t>
            </w:r>
          </w:p>
        </w:tc>
        <w:tc>
          <w:tcPr>
            <w:tcW w:w="1307" w:type="dxa"/>
            <w:vMerge w:val="continue"/>
          </w:tcPr>
          <w:p w14:paraId="16692DD4">
            <w:pPr>
              <w:spacing w:line="400" w:lineRule="exact"/>
              <w:jc w:val="left"/>
              <w:rPr>
                <w:rFonts w:ascii="宋体"/>
                <w:b/>
                <w:szCs w:val="21"/>
                <w:highlight w:val="none"/>
              </w:rPr>
            </w:pPr>
          </w:p>
        </w:tc>
      </w:tr>
      <w:tr w14:paraId="348EB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67F2A8C7">
            <w:pPr>
              <w:spacing w:line="400" w:lineRule="exact"/>
              <w:jc w:val="left"/>
              <w:rPr>
                <w:rFonts w:ascii="宋体"/>
                <w:b/>
                <w:szCs w:val="21"/>
                <w:highlight w:val="none"/>
              </w:rPr>
            </w:pPr>
            <w:r>
              <w:rPr>
                <w:rFonts w:hint="eastAsia" w:ascii="宋体" w:hAnsi="宋体"/>
                <w:b/>
                <w:szCs w:val="21"/>
                <w:highlight w:val="none"/>
              </w:rPr>
              <w:t>项目策划阶段</w:t>
            </w:r>
          </w:p>
        </w:tc>
        <w:tc>
          <w:tcPr>
            <w:tcW w:w="1485" w:type="dxa"/>
          </w:tcPr>
          <w:p w14:paraId="6341C0CB">
            <w:pPr>
              <w:spacing w:line="400" w:lineRule="exact"/>
              <w:jc w:val="left"/>
              <w:rPr>
                <w:rFonts w:ascii="宋体"/>
                <w:b/>
                <w:szCs w:val="21"/>
                <w:highlight w:val="none"/>
              </w:rPr>
            </w:pPr>
            <w:r>
              <w:rPr>
                <w:rFonts w:hint="eastAsia" w:ascii="宋体" w:hAnsi="宋体"/>
                <w:b/>
                <w:szCs w:val="21"/>
                <w:highlight w:val="none"/>
              </w:rPr>
              <w:t>投资估算</w:t>
            </w:r>
          </w:p>
        </w:tc>
        <w:tc>
          <w:tcPr>
            <w:tcW w:w="2565" w:type="dxa"/>
          </w:tcPr>
          <w:p w14:paraId="6C8E182A">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241FD18">
            <w:pPr>
              <w:spacing w:line="400" w:lineRule="exact"/>
              <w:jc w:val="left"/>
              <w:rPr>
                <w:rFonts w:ascii="宋体"/>
                <w:b/>
                <w:szCs w:val="21"/>
                <w:highlight w:val="none"/>
              </w:rPr>
            </w:pPr>
          </w:p>
        </w:tc>
        <w:tc>
          <w:tcPr>
            <w:tcW w:w="2024" w:type="dxa"/>
          </w:tcPr>
          <w:p w14:paraId="589742AE">
            <w:pPr>
              <w:spacing w:line="400" w:lineRule="exact"/>
              <w:jc w:val="left"/>
              <w:rPr>
                <w:rFonts w:ascii="宋体"/>
                <w:b/>
                <w:szCs w:val="21"/>
                <w:highlight w:val="none"/>
              </w:rPr>
            </w:pPr>
          </w:p>
        </w:tc>
        <w:tc>
          <w:tcPr>
            <w:tcW w:w="2744" w:type="dxa"/>
          </w:tcPr>
          <w:p w14:paraId="3DE5F98F">
            <w:pPr>
              <w:spacing w:line="400" w:lineRule="exact"/>
              <w:jc w:val="left"/>
              <w:rPr>
                <w:rFonts w:ascii="宋体"/>
                <w:b/>
                <w:szCs w:val="21"/>
                <w:highlight w:val="none"/>
              </w:rPr>
            </w:pPr>
          </w:p>
        </w:tc>
        <w:tc>
          <w:tcPr>
            <w:tcW w:w="1307" w:type="dxa"/>
          </w:tcPr>
          <w:p w14:paraId="3AA3AF74">
            <w:pPr>
              <w:spacing w:line="400" w:lineRule="exact"/>
              <w:jc w:val="left"/>
              <w:rPr>
                <w:rFonts w:ascii="宋体"/>
                <w:b/>
                <w:szCs w:val="21"/>
                <w:highlight w:val="none"/>
              </w:rPr>
            </w:pPr>
          </w:p>
        </w:tc>
      </w:tr>
      <w:tr w14:paraId="4783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628548F0">
            <w:pPr>
              <w:spacing w:line="400" w:lineRule="exact"/>
              <w:jc w:val="left"/>
              <w:rPr>
                <w:rFonts w:ascii="宋体"/>
                <w:b/>
                <w:szCs w:val="21"/>
                <w:highlight w:val="none"/>
              </w:rPr>
            </w:pPr>
          </w:p>
        </w:tc>
        <w:tc>
          <w:tcPr>
            <w:tcW w:w="1485" w:type="dxa"/>
          </w:tcPr>
          <w:p w14:paraId="2E4BF774">
            <w:pPr>
              <w:spacing w:line="400" w:lineRule="exact"/>
              <w:jc w:val="left"/>
              <w:rPr>
                <w:rFonts w:ascii="宋体"/>
                <w:b/>
                <w:szCs w:val="21"/>
                <w:highlight w:val="none"/>
              </w:rPr>
            </w:pPr>
            <w:r>
              <w:rPr>
                <w:rFonts w:hint="eastAsia" w:ascii="宋体" w:hAnsi="宋体"/>
                <w:b/>
                <w:szCs w:val="21"/>
                <w:highlight w:val="none"/>
              </w:rPr>
              <w:t>经济评价</w:t>
            </w:r>
          </w:p>
        </w:tc>
        <w:tc>
          <w:tcPr>
            <w:tcW w:w="2565" w:type="dxa"/>
          </w:tcPr>
          <w:p w14:paraId="3360F5EF">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9C78EAB">
            <w:pPr>
              <w:spacing w:line="400" w:lineRule="exact"/>
              <w:jc w:val="left"/>
              <w:rPr>
                <w:rFonts w:ascii="宋体"/>
                <w:b/>
                <w:szCs w:val="21"/>
                <w:highlight w:val="none"/>
              </w:rPr>
            </w:pPr>
          </w:p>
        </w:tc>
        <w:tc>
          <w:tcPr>
            <w:tcW w:w="2024" w:type="dxa"/>
          </w:tcPr>
          <w:p w14:paraId="67B8FC7A">
            <w:pPr>
              <w:spacing w:line="400" w:lineRule="exact"/>
              <w:jc w:val="left"/>
              <w:rPr>
                <w:rFonts w:ascii="宋体"/>
                <w:b/>
                <w:szCs w:val="21"/>
                <w:highlight w:val="none"/>
              </w:rPr>
            </w:pPr>
          </w:p>
        </w:tc>
        <w:tc>
          <w:tcPr>
            <w:tcW w:w="2744" w:type="dxa"/>
          </w:tcPr>
          <w:p w14:paraId="3EBAC3AA">
            <w:pPr>
              <w:spacing w:line="400" w:lineRule="exact"/>
              <w:jc w:val="left"/>
              <w:rPr>
                <w:rFonts w:ascii="宋体"/>
                <w:b/>
                <w:szCs w:val="21"/>
                <w:highlight w:val="none"/>
              </w:rPr>
            </w:pPr>
          </w:p>
        </w:tc>
        <w:tc>
          <w:tcPr>
            <w:tcW w:w="1307" w:type="dxa"/>
          </w:tcPr>
          <w:p w14:paraId="1DF12774">
            <w:pPr>
              <w:spacing w:line="400" w:lineRule="exact"/>
              <w:jc w:val="left"/>
              <w:rPr>
                <w:rFonts w:ascii="宋体"/>
                <w:b/>
                <w:szCs w:val="21"/>
                <w:highlight w:val="none"/>
              </w:rPr>
            </w:pPr>
          </w:p>
        </w:tc>
      </w:tr>
      <w:tr w14:paraId="746E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23B9499">
            <w:pPr>
              <w:spacing w:line="400" w:lineRule="exact"/>
              <w:jc w:val="left"/>
              <w:rPr>
                <w:rFonts w:ascii="宋体"/>
                <w:b/>
                <w:szCs w:val="21"/>
                <w:highlight w:val="none"/>
              </w:rPr>
            </w:pPr>
          </w:p>
        </w:tc>
        <w:tc>
          <w:tcPr>
            <w:tcW w:w="1485" w:type="dxa"/>
          </w:tcPr>
          <w:p w14:paraId="12C07013">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7B984F1B">
            <w:pPr>
              <w:spacing w:line="400" w:lineRule="exact"/>
              <w:jc w:val="left"/>
              <w:rPr>
                <w:rFonts w:ascii="宋体"/>
                <w:b/>
                <w:szCs w:val="21"/>
                <w:highlight w:val="none"/>
              </w:rPr>
            </w:pPr>
          </w:p>
        </w:tc>
        <w:tc>
          <w:tcPr>
            <w:tcW w:w="2024" w:type="dxa"/>
          </w:tcPr>
          <w:p w14:paraId="1D1FC695">
            <w:pPr>
              <w:spacing w:line="400" w:lineRule="exact"/>
              <w:jc w:val="left"/>
              <w:rPr>
                <w:rFonts w:ascii="宋体"/>
                <w:b/>
                <w:szCs w:val="21"/>
                <w:highlight w:val="none"/>
              </w:rPr>
            </w:pPr>
          </w:p>
        </w:tc>
        <w:tc>
          <w:tcPr>
            <w:tcW w:w="2024" w:type="dxa"/>
          </w:tcPr>
          <w:p w14:paraId="6711FAB3">
            <w:pPr>
              <w:spacing w:line="400" w:lineRule="exact"/>
              <w:jc w:val="left"/>
              <w:rPr>
                <w:rFonts w:ascii="宋体"/>
                <w:b/>
                <w:szCs w:val="21"/>
                <w:highlight w:val="none"/>
              </w:rPr>
            </w:pPr>
          </w:p>
        </w:tc>
        <w:tc>
          <w:tcPr>
            <w:tcW w:w="2744" w:type="dxa"/>
          </w:tcPr>
          <w:p w14:paraId="37CB8430">
            <w:pPr>
              <w:spacing w:line="400" w:lineRule="exact"/>
              <w:jc w:val="left"/>
              <w:rPr>
                <w:rFonts w:ascii="宋体"/>
                <w:b/>
                <w:szCs w:val="21"/>
                <w:highlight w:val="none"/>
              </w:rPr>
            </w:pPr>
          </w:p>
        </w:tc>
        <w:tc>
          <w:tcPr>
            <w:tcW w:w="1307" w:type="dxa"/>
          </w:tcPr>
          <w:p w14:paraId="159AF324">
            <w:pPr>
              <w:spacing w:line="400" w:lineRule="exact"/>
              <w:jc w:val="left"/>
              <w:rPr>
                <w:rFonts w:ascii="宋体"/>
                <w:b/>
                <w:szCs w:val="21"/>
                <w:highlight w:val="none"/>
              </w:rPr>
            </w:pPr>
          </w:p>
        </w:tc>
      </w:tr>
      <w:tr w14:paraId="55EB2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4B686455">
            <w:pPr>
              <w:spacing w:line="400" w:lineRule="exact"/>
              <w:jc w:val="left"/>
              <w:rPr>
                <w:rFonts w:ascii="宋体"/>
                <w:b/>
                <w:szCs w:val="21"/>
                <w:highlight w:val="none"/>
              </w:rPr>
            </w:pPr>
            <w:r>
              <w:rPr>
                <w:rFonts w:hint="eastAsia" w:ascii="宋体" w:hAnsi="宋体"/>
                <w:b/>
                <w:szCs w:val="21"/>
                <w:highlight w:val="none"/>
              </w:rPr>
              <w:t>工程设计阶段</w:t>
            </w:r>
          </w:p>
        </w:tc>
        <w:tc>
          <w:tcPr>
            <w:tcW w:w="1485" w:type="dxa"/>
          </w:tcPr>
          <w:p w14:paraId="7EDDEF36">
            <w:pPr>
              <w:spacing w:line="400" w:lineRule="exact"/>
              <w:jc w:val="left"/>
              <w:rPr>
                <w:rFonts w:ascii="宋体"/>
                <w:b/>
                <w:szCs w:val="21"/>
                <w:highlight w:val="none"/>
              </w:rPr>
            </w:pPr>
            <w:r>
              <w:rPr>
                <w:rFonts w:hint="eastAsia" w:ascii="宋体" w:hAnsi="宋体"/>
                <w:b/>
                <w:szCs w:val="21"/>
                <w:highlight w:val="none"/>
              </w:rPr>
              <w:t>设计概算</w:t>
            </w:r>
          </w:p>
        </w:tc>
        <w:tc>
          <w:tcPr>
            <w:tcW w:w="2565" w:type="dxa"/>
          </w:tcPr>
          <w:p w14:paraId="232EDEC2">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582480EE">
            <w:pPr>
              <w:spacing w:line="400" w:lineRule="exact"/>
              <w:jc w:val="left"/>
              <w:rPr>
                <w:rFonts w:ascii="宋体"/>
                <w:b/>
                <w:szCs w:val="21"/>
                <w:highlight w:val="none"/>
              </w:rPr>
            </w:pPr>
          </w:p>
        </w:tc>
        <w:tc>
          <w:tcPr>
            <w:tcW w:w="2024" w:type="dxa"/>
          </w:tcPr>
          <w:p w14:paraId="0B731D1B">
            <w:pPr>
              <w:spacing w:line="400" w:lineRule="exact"/>
              <w:jc w:val="left"/>
              <w:rPr>
                <w:rFonts w:ascii="宋体"/>
                <w:b/>
                <w:szCs w:val="21"/>
                <w:highlight w:val="none"/>
              </w:rPr>
            </w:pPr>
          </w:p>
        </w:tc>
        <w:tc>
          <w:tcPr>
            <w:tcW w:w="2744" w:type="dxa"/>
          </w:tcPr>
          <w:p w14:paraId="5A3044D6">
            <w:pPr>
              <w:spacing w:line="400" w:lineRule="exact"/>
              <w:jc w:val="left"/>
              <w:rPr>
                <w:rFonts w:ascii="宋体"/>
                <w:b/>
                <w:szCs w:val="21"/>
                <w:highlight w:val="none"/>
              </w:rPr>
            </w:pPr>
          </w:p>
        </w:tc>
        <w:tc>
          <w:tcPr>
            <w:tcW w:w="1307" w:type="dxa"/>
          </w:tcPr>
          <w:p w14:paraId="08CDB025">
            <w:pPr>
              <w:spacing w:line="400" w:lineRule="exact"/>
              <w:jc w:val="left"/>
              <w:rPr>
                <w:rFonts w:ascii="宋体"/>
                <w:b/>
                <w:szCs w:val="21"/>
                <w:highlight w:val="none"/>
              </w:rPr>
            </w:pPr>
          </w:p>
        </w:tc>
      </w:tr>
      <w:tr w14:paraId="417E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3A0C43B3">
            <w:pPr>
              <w:spacing w:line="400" w:lineRule="exact"/>
              <w:jc w:val="left"/>
              <w:rPr>
                <w:rFonts w:ascii="宋体"/>
                <w:b/>
                <w:szCs w:val="21"/>
                <w:highlight w:val="none"/>
              </w:rPr>
            </w:pPr>
          </w:p>
        </w:tc>
        <w:tc>
          <w:tcPr>
            <w:tcW w:w="1485" w:type="dxa"/>
          </w:tcPr>
          <w:p w14:paraId="038DFE53">
            <w:pPr>
              <w:spacing w:line="400" w:lineRule="exact"/>
              <w:jc w:val="left"/>
              <w:rPr>
                <w:rFonts w:ascii="宋体"/>
                <w:b/>
                <w:szCs w:val="21"/>
                <w:highlight w:val="none"/>
              </w:rPr>
            </w:pPr>
            <w:r>
              <w:rPr>
                <w:rFonts w:hint="eastAsia" w:ascii="宋体" w:hAnsi="宋体"/>
                <w:b/>
                <w:szCs w:val="21"/>
                <w:highlight w:val="none"/>
              </w:rPr>
              <w:t>施工图概算</w:t>
            </w:r>
          </w:p>
        </w:tc>
        <w:tc>
          <w:tcPr>
            <w:tcW w:w="2565" w:type="dxa"/>
          </w:tcPr>
          <w:p w14:paraId="796276E3">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5177E045">
            <w:pPr>
              <w:spacing w:line="400" w:lineRule="exact"/>
              <w:jc w:val="left"/>
              <w:rPr>
                <w:rFonts w:ascii="宋体"/>
                <w:b/>
                <w:szCs w:val="21"/>
                <w:highlight w:val="none"/>
              </w:rPr>
            </w:pPr>
          </w:p>
        </w:tc>
        <w:tc>
          <w:tcPr>
            <w:tcW w:w="2024" w:type="dxa"/>
          </w:tcPr>
          <w:p w14:paraId="7EE39001">
            <w:pPr>
              <w:spacing w:line="400" w:lineRule="exact"/>
              <w:jc w:val="left"/>
              <w:rPr>
                <w:rFonts w:ascii="宋体"/>
                <w:b/>
                <w:szCs w:val="21"/>
                <w:highlight w:val="none"/>
              </w:rPr>
            </w:pPr>
          </w:p>
        </w:tc>
        <w:tc>
          <w:tcPr>
            <w:tcW w:w="2744" w:type="dxa"/>
          </w:tcPr>
          <w:p w14:paraId="7B186780">
            <w:pPr>
              <w:spacing w:line="400" w:lineRule="exact"/>
              <w:jc w:val="left"/>
              <w:rPr>
                <w:rFonts w:ascii="宋体"/>
                <w:b/>
                <w:szCs w:val="21"/>
                <w:highlight w:val="none"/>
              </w:rPr>
            </w:pPr>
          </w:p>
        </w:tc>
        <w:tc>
          <w:tcPr>
            <w:tcW w:w="1307" w:type="dxa"/>
          </w:tcPr>
          <w:p w14:paraId="7247A47D">
            <w:pPr>
              <w:spacing w:line="400" w:lineRule="exact"/>
              <w:jc w:val="left"/>
              <w:rPr>
                <w:rFonts w:ascii="宋体"/>
                <w:b/>
                <w:szCs w:val="21"/>
                <w:highlight w:val="none"/>
              </w:rPr>
            </w:pPr>
          </w:p>
        </w:tc>
      </w:tr>
      <w:tr w14:paraId="0322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25708F68">
            <w:pPr>
              <w:spacing w:line="400" w:lineRule="exact"/>
              <w:jc w:val="left"/>
              <w:rPr>
                <w:rFonts w:ascii="宋体"/>
                <w:b/>
                <w:szCs w:val="21"/>
                <w:highlight w:val="none"/>
              </w:rPr>
            </w:pPr>
          </w:p>
        </w:tc>
        <w:tc>
          <w:tcPr>
            <w:tcW w:w="1485" w:type="dxa"/>
          </w:tcPr>
          <w:p w14:paraId="6A3A4313">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582C15E1">
            <w:pPr>
              <w:spacing w:line="400" w:lineRule="exact"/>
              <w:jc w:val="left"/>
              <w:rPr>
                <w:rFonts w:ascii="宋体"/>
                <w:b/>
                <w:szCs w:val="21"/>
                <w:highlight w:val="none"/>
              </w:rPr>
            </w:pPr>
          </w:p>
        </w:tc>
        <w:tc>
          <w:tcPr>
            <w:tcW w:w="2024" w:type="dxa"/>
          </w:tcPr>
          <w:p w14:paraId="2E503ABF">
            <w:pPr>
              <w:spacing w:line="400" w:lineRule="exact"/>
              <w:jc w:val="left"/>
              <w:rPr>
                <w:rFonts w:ascii="宋体"/>
                <w:b/>
                <w:szCs w:val="21"/>
                <w:highlight w:val="none"/>
              </w:rPr>
            </w:pPr>
          </w:p>
        </w:tc>
        <w:tc>
          <w:tcPr>
            <w:tcW w:w="2024" w:type="dxa"/>
          </w:tcPr>
          <w:p w14:paraId="56EA7B57">
            <w:pPr>
              <w:spacing w:line="400" w:lineRule="exact"/>
              <w:jc w:val="left"/>
              <w:rPr>
                <w:rFonts w:ascii="宋体"/>
                <w:b/>
                <w:szCs w:val="21"/>
                <w:highlight w:val="none"/>
              </w:rPr>
            </w:pPr>
          </w:p>
        </w:tc>
        <w:tc>
          <w:tcPr>
            <w:tcW w:w="2744" w:type="dxa"/>
          </w:tcPr>
          <w:p w14:paraId="7C8A9D28">
            <w:pPr>
              <w:spacing w:line="400" w:lineRule="exact"/>
              <w:jc w:val="left"/>
              <w:rPr>
                <w:rFonts w:ascii="宋体"/>
                <w:b/>
                <w:szCs w:val="21"/>
                <w:highlight w:val="none"/>
              </w:rPr>
            </w:pPr>
          </w:p>
        </w:tc>
        <w:tc>
          <w:tcPr>
            <w:tcW w:w="1307" w:type="dxa"/>
          </w:tcPr>
          <w:p w14:paraId="6CBBFE97">
            <w:pPr>
              <w:spacing w:line="400" w:lineRule="exact"/>
              <w:jc w:val="left"/>
              <w:rPr>
                <w:rFonts w:ascii="宋体"/>
                <w:b/>
                <w:szCs w:val="21"/>
                <w:highlight w:val="none"/>
              </w:rPr>
            </w:pPr>
          </w:p>
        </w:tc>
      </w:tr>
      <w:tr w14:paraId="504F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6AE4D4C4">
            <w:pPr>
              <w:spacing w:line="400" w:lineRule="exact"/>
              <w:jc w:val="left"/>
              <w:rPr>
                <w:rFonts w:ascii="宋体"/>
                <w:b/>
                <w:szCs w:val="21"/>
                <w:highlight w:val="none"/>
              </w:rPr>
            </w:pPr>
            <w:r>
              <w:rPr>
                <w:rFonts w:hint="eastAsia" w:ascii="宋体" w:hAnsi="宋体"/>
                <w:b/>
                <w:szCs w:val="21"/>
                <w:highlight w:val="none"/>
              </w:rPr>
              <w:t>发承包阶段</w:t>
            </w:r>
          </w:p>
        </w:tc>
        <w:tc>
          <w:tcPr>
            <w:tcW w:w="1485" w:type="dxa"/>
          </w:tcPr>
          <w:p w14:paraId="67C3534C">
            <w:pPr>
              <w:spacing w:line="400" w:lineRule="exact"/>
              <w:jc w:val="left"/>
              <w:rPr>
                <w:rFonts w:ascii="宋体"/>
                <w:b/>
                <w:szCs w:val="21"/>
                <w:highlight w:val="none"/>
              </w:rPr>
            </w:pPr>
            <w:r>
              <w:rPr>
                <w:rFonts w:hint="eastAsia" w:ascii="宋体" w:hAnsi="宋体"/>
                <w:b/>
                <w:szCs w:val="21"/>
                <w:highlight w:val="none"/>
              </w:rPr>
              <w:t>工程量清单</w:t>
            </w:r>
          </w:p>
        </w:tc>
        <w:tc>
          <w:tcPr>
            <w:tcW w:w="2565" w:type="dxa"/>
          </w:tcPr>
          <w:p w14:paraId="4B5F7156">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278BCB35">
            <w:pPr>
              <w:spacing w:line="400" w:lineRule="exact"/>
              <w:jc w:val="left"/>
              <w:rPr>
                <w:rFonts w:ascii="宋体"/>
                <w:b/>
                <w:szCs w:val="21"/>
                <w:highlight w:val="none"/>
              </w:rPr>
            </w:pPr>
          </w:p>
        </w:tc>
        <w:tc>
          <w:tcPr>
            <w:tcW w:w="2024" w:type="dxa"/>
          </w:tcPr>
          <w:p w14:paraId="38FF775D">
            <w:pPr>
              <w:spacing w:line="400" w:lineRule="exact"/>
              <w:jc w:val="left"/>
              <w:rPr>
                <w:rFonts w:ascii="宋体"/>
                <w:b/>
                <w:szCs w:val="21"/>
                <w:highlight w:val="none"/>
              </w:rPr>
            </w:pPr>
          </w:p>
        </w:tc>
        <w:tc>
          <w:tcPr>
            <w:tcW w:w="2744" w:type="dxa"/>
          </w:tcPr>
          <w:p w14:paraId="3B92ECB9">
            <w:pPr>
              <w:spacing w:line="400" w:lineRule="exact"/>
              <w:jc w:val="left"/>
              <w:rPr>
                <w:rFonts w:ascii="宋体"/>
                <w:b/>
                <w:szCs w:val="21"/>
                <w:highlight w:val="none"/>
              </w:rPr>
            </w:pPr>
          </w:p>
        </w:tc>
        <w:tc>
          <w:tcPr>
            <w:tcW w:w="1307" w:type="dxa"/>
          </w:tcPr>
          <w:p w14:paraId="0E90490E">
            <w:pPr>
              <w:spacing w:line="400" w:lineRule="exact"/>
              <w:jc w:val="left"/>
              <w:rPr>
                <w:rFonts w:ascii="宋体"/>
                <w:b/>
                <w:szCs w:val="21"/>
                <w:highlight w:val="none"/>
              </w:rPr>
            </w:pPr>
          </w:p>
        </w:tc>
      </w:tr>
      <w:tr w14:paraId="0D9E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F71620C">
            <w:pPr>
              <w:spacing w:line="400" w:lineRule="exact"/>
              <w:jc w:val="left"/>
              <w:rPr>
                <w:rFonts w:ascii="宋体"/>
                <w:b/>
                <w:szCs w:val="21"/>
                <w:highlight w:val="none"/>
              </w:rPr>
            </w:pPr>
          </w:p>
        </w:tc>
        <w:tc>
          <w:tcPr>
            <w:tcW w:w="1485" w:type="dxa"/>
          </w:tcPr>
          <w:p w14:paraId="0BCB169E">
            <w:pPr>
              <w:spacing w:line="400" w:lineRule="exact"/>
              <w:jc w:val="left"/>
              <w:rPr>
                <w:rFonts w:ascii="宋体"/>
                <w:b/>
                <w:szCs w:val="21"/>
                <w:highlight w:val="none"/>
              </w:rPr>
            </w:pPr>
            <w:r>
              <w:rPr>
                <w:rFonts w:hint="eastAsia" w:ascii="宋体" w:hAnsi="宋体"/>
                <w:b/>
                <w:szCs w:val="21"/>
                <w:highlight w:val="none"/>
              </w:rPr>
              <w:t>最高投标限价</w:t>
            </w:r>
          </w:p>
        </w:tc>
        <w:tc>
          <w:tcPr>
            <w:tcW w:w="2565" w:type="dxa"/>
          </w:tcPr>
          <w:p w14:paraId="092F5DFB">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79350A98">
            <w:pPr>
              <w:spacing w:line="400" w:lineRule="exact"/>
              <w:jc w:val="left"/>
              <w:rPr>
                <w:rFonts w:ascii="宋体"/>
                <w:b/>
                <w:szCs w:val="21"/>
                <w:highlight w:val="none"/>
              </w:rPr>
            </w:pPr>
          </w:p>
        </w:tc>
        <w:tc>
          <w:tcPr>
            <w:tcW w:w="2024" w:type="dxa"/>
          </w:tcPr>
          <w:p w14:paraId="02E47411">
            <w:pPr>
              <w:spacing w:line="400" w:lineRule="exact"/>
              <w:jc w:val="left"/>
              <w:rPr>
                <w:rFonts w:ascii="宋体"/>
                <w:b/>
                <w:szCs w:val="21"/>
                <w:highlight w:val="none"/>
              </w:rPr>
            </w:pPr>
          </w:p>
        </w:tc>
        <w:tc>
          <w:tcPr>
            <w:tcW w:w="2744" w:type="dxa"/>
          </w:tcPr>
          <w:p w14:paraId="1145539F">
            <w:pPr>
              <w:spacing w:line="400" w:lineRule="exact"/>
              <w:jc w:val="left"/>
              <w:rPr>
                <w:rFonts w:ascii="宋体"/>
                <w:b/>
                <w:szCs w:val="21"/>
                <w:highlight w:val="none"/>
              </w:rPr>
            </w:pPr>
          </w:p>
        </w:tc>
        <w:tc>
          <w:tcPr>
            <w:tcW w:w="1307" w:type="dxa"/>
          </w:tcPr>
          <w:p w14:paraId="2BA5AB05">
            <w:pPr>
              <w:spacing w:line="400" w:lineRule="exact"/>
              <w:jc w:val="left"/>
              <w:rPr>
                <w:rFonts w:ascii="宋体"/>
                <w:b/>
                <w:szCs w:val="21"/>
                <w:highlight w:val="none"/>
              </w:rPr>
            </w:pPr>
          </w:p>
        </w:tc>
      </w:tr>
      <w:tr w14:paraId="4E53D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AAF12C5">
            <w:pPr>
              <w:spacing w:line="400" w:lineRule="exact"/>
              <w:jc w:val="left"/>
              <w:rPr>
                <w:rFonts w:ascii="宋体"/>
                <w:b/>
                <w:szCs w:val="21"/>
                <w:highlight w:val="none"/>
              </w:rPr>
            </w:pPr>
          </w:p>
        </w:tc>
        <w:tc>
          <w:tcPr>
            <w:tcW w:w="1485" w:type="dxa"/>
          </w:tcPr>
          <w:p w14:paraId="496FCE82">
            <w:pPr>
              <w:spacing w:line="400" w:lineRule="exact"/>
              <w:jc w:val="left"/>
              <w:rPr>
                <w:rFonts w:ascii="宋体"/>
                <w:b/>
                <w:szCs w:val="21"/>
                <w:highlight w:val="none"/>
              </w:rPr>
            </w:pPr>
            <w:r>
              <w:rPr>
                <w:rFonts w:hint="eastAsia" w:ascii="宋体" w:hAnsi="宋体"/>
                <w:b/>
                <w:szCs w:val="21"/>
                <w:highlight w:val="none"/>
              </w:rPr>
              <w:t>投标报价分析</w:t>
            </w:r>
          </w:p>
        </w:tc>
        <w:tc>
          <w:tcPr>
            <w:tcW w:w="2565" w:type="dxa"/>
          </w:tcPr>
          <w:p w14:paraId="61521AE1">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5DE18C9">
            <w:pPr>
              <w:spacing w:line="400" w:lineRule="exact"/>
              <w:jc w:val="left"/>
              <w:rPr>
                <w:rFonts w:ascii="宋体"/>
                <w:b/>
                <w:szCs w:val="21"/>
                <w:highlight w:val="none"/>
              </w:rPr>
            </w:pPr>
          </w:p>
        </w:tc>
        <w:tc>
          <w:tcPr>
            <w:tcW w:w="2024" w:type="dxa"/>
          </w:tcPr>
          <w:p w14:paraId="546991D6">
            <w:pPr>
              <w:spacing w:line="400" w:lineRule="exact"/>
              <w:jc w:val="left"/>
              <w:rPr>
                <w:rFonts w:ascii="宋体"/>
                <w:b/>
                <w:szCs w:val="21"/>
                <w:highlight w:val="none"/>
              </w:rPr>
            </w:pPr>
          </w:p>
        </w:tc>
        <w:tc>
          <w:tcPr>
            <w:tcW w:w="2744" w:type="dxa"/>
          </w:tcPr>
          <w:p w14:paraId="710CAF22">
            <w:pPr>
              <w:spacing w:line="400" w:lineRule="exact"/>
              <w:jc w:val="left"/>
              <w:rPr>
                <w:rFonts w:ascii="宋体"/>
                <w:b/>
                <w:szCs w:val="21"/>
                <w:highlight w:val="none"/>
              </w:rPr>
            </w:pPr>
          </w:p>
        </w:tc>
        <w:tc>
          <w:tcPr>
            <w:tcW w:w="1307" w:type="dxa"/>
          </w:tcPr>
          <w:p w14:paraId="0EA796E1">
            <w:pPr>
              <w:spacing w:line="400" w:lineRule="exact"/>
              <w:jc w:val="left"/>
              <w:rPr>
                <w:rFonts w:ascii="宋体"/>
                <w:b/>
                <w:szCs w:val="21"/>
                <w:highlight w:val="none"/>
              </w:rPr>
            </w:pPr>
          </w:p>
        </w:tc>
      </w:tr>
      <w:tr w14:paraId="22420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22CCB6B">
            <w:pPr>
              <w:spacing w:line="400" w:lineRule="exact"/>
              <w:jc w:val="left"/>
              <w:rPr>
                <w:rFonts w:ascii="宋体"/>
                <w:b/>
                <w:szCs w:val="21"/>
                <w:highlight w:val="none"/>
              </w:rPr>
            </w:pPr>
          </w:p>
        </w:tc>
        <w:tc>
          <w:tcPr>
            <w:tcW w:w="1485" w:type="dxa"/>
          </w:tcPr>
          <w:p w14:paraId="0B84774E">
            <w:pPr>
              <w:spacing w:line="400" w:lineRule="exact"/>
              <w:jc w:val="left"/>
              <w:rPr>
                <w:rFonts w:ascii="宋体"/>
                <w:b/>
                <w:szCs w:val="21"/>
                <w:highlight w:val="none"/>
              </w:rPr>
            </w:pPr>
            <w:r>
              <w:rPr>
                <w:rFonts w:hint="eastAsia" w:ascii="宋体" w:hAnsi="宋体"/>
                <w:b/>
                <w:szCs w:val="21"/>
                <w:highlight w:val="none"/>
              </w:rPr>
              <w:t>清标报告</w:t>
            </w:r>
          </w:p>
        </w:tc>
        <w:tc>
          <w:tcPr>
            <w:tcW w:w="2565" w:type="dxa"/>
          </w:tcPr>
          <w:p w14:paraId="73E19DFD">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3176DBA7">
            <w:pPr>
              <w:spacing w:line="400" w:lineRule="exact"/>
              <w:jc w:val="left"/>
              <w:rPr>
                <w:rFonts w:ascii="宋体"/>
                <w:b/>
                <w:szCs w:val="21"/>
                <w:highlight w:val="none"/>
              </w:rPr>
            </w:pPr>
          </w:p>
        </w:tc>
        <w:tc>
          <w:tcPr>
            <w:tcW w:w="2024" w:type="dxa"/>
          </w:tcPr>
          <w:p w14:paraId="37D55DD3">
            <w:pPr>
              <w:spacing w:line="400" w:lineRule="exact"/>
              <w:jc w:val="left"/>
              <w:rPr>
                <w:rFonts w:ascii="宋体"/>
                <w:b/>
                <w:szCs w:val="21"/>
                <w:highlight w:val="none"/>
              </w:rPr>
            </w:pPr>
          </w:p>
        </w:tc>
        <w:tc>
          <w:tcPr>
            <w:tcW w:w="2744" w:type="dxa"/>
          </w:tcPr>
          <w:p w14:paraId="0F7D3E6C">
            <w:pPr>
              <w:spacing w:line="400" w:lineRule="exact"/>
              <w:jc w:val="left"/>
              <w:rPr>
                <w:rFonts w:ascii="宋体"/>
                <w:b/>
                <w:szCs w:val="21"/>
                <w:highlight w:val="none"/>
              </w:rPr>
            </w:pPr>
          </w:p>
        </w:tc>
        <w:tc>
          <w:tcPr>
            <w:tcW w:w="1307" w:type="dxa"/>
          </w:tcPr>
          <w:p w14:paraId="52D075BF">
            <w:pPr>
              <w:spacing w:line="400" w:lineRule="exact"/>
              <w:jc w:val="left"/>
              <w:rPr>
                <w:rFonts w:ascii="宋体"/>
                <w:b/>
                <w:szCs w:val="21"/>
                <w:highlight w:val="none"/>
              </w:rPr>
            </w:pPr>
          </w:p>
        </w:tc>
      </w:tr>
      <w:tr w14:paraId="49C48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A6B1ABF">
            <w:pPr>
              <w:spacing w:line="400" w:lineRule="exact"/>
              <w:jc w:val="left"/>
              <w:rPr>
                <w:rFonts w:ascii="宋体"/>
                <w:b/>
                <w:szCs w:val="21"/>
                <w:highlight w:val="none"/>
              </w:rPr>
            </w:pPr>
          </w:p>
        </w:tc>
        <w:tc>
          <w:tcPr>
            <w:tcW w:w="1485" w:type="dxa"/>
          </w:tcPr>
          <w:p w14:paraId="59EDFA6F">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19AD677E">
            <w:pPr>
              <w:spacing w:line="400" w:lineRule="exact"/>
              <w:jc w:val="left"/>
              <w:rPr>
                <w:rFonts w:ascii="宋体"/>
                <w:b/>
                <w:szCs w:val="21"/>
                <w:highlight w:val="none"/>
              </w:rPr>
            </w:pPr>
          </w:p>
        </w:tc>
        <w:tc>
          <w:tcPr>
            <w:tcW w:w="2024" w:type="dxa"/>
          </w:tcPr>
          <w:p w14:paraId="2C680738">
            <w:pPr>
              <w:spacing w:line="400" w:lineRule="exact"/>
              <w:jc w:val="left"/>
              <w:rPr>
                <w:rFonts w:ascii="宋体"/>
                <w:b/>
                <w:szCs w:val="21"/>
                <w:highlight w:val="none"/>
              </w:rPr>
            </w:pPr>
          </w:p>
        </w:tc>
        <w:tc>
          <w:tcPr>
            <w:tcW w:w="2024" w:type="dxa"/>
          </w:tcPr>
          <w:p w14:paraId="2DE9BCE5">
            <w:pPr>
              <w:spacing w:line="400" w:lineRule="exact"/>
              <w:jc w:val="left"/>
              <w:rPr>
                <w:rFonts w:ascii="宋体"/>
                <w:b/>
                <w:szCs w:val="21"/>
                <w:highlight w:val="none"/>
              </w:rPr>
            </w:pPr>
          </w:p>
        </w:tc>
        <w:tc>
          <w:tcPr>
            <w:tcW w:w="2744" w:type="dxa"/>
          </w:tcPr>
          <w:p w14:paraId="7B0076F4">
            <w:pPr>
              <w:spacing w:line="400" w:lineRule="exact"/>
              <w:jc w:val="left"/>
              <w:rPr>
                <w:rFonts w:ascii="宋体"/>
                <w:b/>
                <w:szCs w:val="21"/>
                <w:highlight w:val="none"/>
              </w:rPr>
            </w:pPr>
          </w:p>
        </w:tc>
        <w:tc>
          <w:tcPr>
            <w:tcW w:w="1307" w:type="dxa"/>
          </w:tcPr>
          <w:p w14:paraId="5BE05FB5">
            <w:pPr>
              <w:spacing w:line="400" w:lineRule="exact"/>
              <w:jc w:val="left"/>
              <w:rPr>
                <w:rFonts w:ascii="宋体"/>
                <w:b/>
                <w:szCs w:val="21"/>
                <w:highlight w:val="none"/>
              </w:rPr>
            </w:pPr>
          </w:p>
        </w:tc>
      </w:tr>
      <w:tr w14:paraId="16BA4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127C5E6D">
            <w:pPr>
              <w:spacing w:line="400" w:lineRule="exact"/>
              <w:jc w:val="left"/>
              <w:rPr>
                <w:rFonts w:ascii="宋体"/>
                <w:b/>
                <w:szCs w:val="21"/>
                <w:highlight w:val="none"/>
              </w:rPr>
            </w:pPr>
            <w:r>
              <w:rPr>
                <w:rFonts w:hint="eastAsia" w:ascii="宋体" w:hAnsi="宋体"/>
                <w:b/>
                <w:szCs w:val="21"/>
                <w:highlight w:val="none"/>
              </w:rPr>
              <w:t>实施阶段</w:t>
            </w:r>
          </w:p>
        </w:tc>
        <w:tc>
          <w:tcPr>
            <w:tcW w:w="1485" w:type="dxa"/>
          </w:tcPr>
          <w:p w14:paraId="483F46C0">
            <w:pPr>
              <w:spacing w:line="400" w:lineRule="exact"/>
              <w:jc w:val="left"/>
              <w:rPr>
                <w:rFonts w:ascii="宋体"/>
                <w:b/>
                <w:szCs w:val="21"/>
                <w:highlight w:val="none"/>
              </w:rPr>
            </w:pPr>
            <w:r>
              <w:rPr>
                <w:rFonts w:hint="eastAsia" w:ascii="宋体" w:hAnsi="宋体"/>
                <w:b/>
                <w:szCs w:val="21"/>
                <w:highlight w:val="none"/>
              </w:rPr>
              <w:t>资金使用计划</w:t>
            </w:r>
          </w:p>
        </w:tc>
        <w:tc>
          <w:tcPr>
            <w:tcW w:w="2565" w:type="dxa"/>
          </w:tcPr>
          <w:p w14:paraId="3E8A14B5">
            <w:pPr>
              <w:spacing w:line="400" w:lineRule="exact"/>
              <w:jc w:val="left"/>
              <w:rPr>
                <w:rFonts w:ascii="宋体"/>
                <w:b/>
                <w:szCs w:val="21"/>
                <w:highlight w:val="none"/>
              </w:rPr>
            </w:pPr>
            <w:r>
              <w:rPr>
                <w:rFonts w:hint="eastAsia" w:ascii="宋体" w:hAnsi="宋体"/>
                <w:b/>
                <w:szCs w:val="21"/>
                <w:highlight w:val="none"/>
              </w:rPr>
              <w:t>□编制</w:t>
            </w:r>
          </w:p>
        </w:tc>
        <w:tc>
          <w:tcPr>
            <w:tcW w:w="2024" w:type="dxa"/>
          </w:tcPr>
          <w:p w14:paraId="52493F3E">
            <w:pPr>
              <w:spacing w:line="400" w:lineRule="exact"/>
              <w:jc w:val="left"/>
              <w:rPr>
                <w:rFonts w:ascii="宋体"/>
                <w:b/>
                <w:szCs w:val="21"/>
                <w:highlight w:val="none"/>
              </w:rPr>
            </w:pPr>
          </w:p>
        </w:tc>
        <w:tc>
          <w:tcPr>
            <w:tcW w:w="2024" w:type="dxa"/>
          </w:tcPr>
          <w:p w14:paraId="5F0BFF0B">
            <w:pPr>
              <w:spacing w:line="400" w:lineRule="exact"/>
              <w:jc w:val="left"/>
              <w:rPr>
                <w:rFonts w:ascii="宋体"/>
                <w:b/>
                <w:szCs w:val="21"/>
                <w:highlight w:val="none"/>
              </w:rPr>
            </w:pPr>
          </w:p>
        </w:tc>
        <w:tc>
          <w:tcPr>
            <w:tcW w:w="2744" w:type="dxa"/>
          </w:tcPr>
          <w:p w14:paraId="6A443ACF">
            <w:pPr>
              <w:spacing w:line="400" w:lineRule="exact"/>
              <w:jc w:val="left"/>
              <w:rPr>
                <w:rFonts w:ascii="宋体"/>
                <w:b/>
                <w:szCs w:val="21"/>
                <w:highlight w:val="none"/>
              </w:rPr>
            </w:pPr>
          </w:p>
        </w:tc>
        <w:tc>
          <w:tcPr>
            <w:tcW w:w="1307" w:type="dxa"/>
          </w:tcPr>
          <w:p w14:paraId="56911407">
            <w:pPr>
              <w:spacing w:line="400" w:lineRule="exact"/>
              <w:jc w:val="left"/>
              <w:rPr>
                <w:rFonts w:ascii="宋体"/>
                <w:b/>
                <w:szCs w:val="21"/>
                <w:highlight w:val="none"/>
              </w:rPr>
            </w:pPr>
          </w:p>
        </w:tc>
      </w:tr>
      <w:tr w14:paraId="42691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27F5AAB">
            <w:pPr>
              <w:spacing w:line="400" w:lineRule="exact"/>
              <w:jc w:val="left"/>
              <w:rPr>
                <w:rFonts w:ascii="宋体"/>
                <w:b/>
                <w:szCs w:val="21"/>
                <w:highlight w:val="none"/>
              </w:rPr>
            </w:pPr>
          </w:p>
        </w:tc>
        <w:tc>
          <w:tcPr>
            <w:tcW w:w="1485" w:type="dxa"/>
          </w:tcPr>
          <w:p w14:paraId="6AC60F7C">
            <w:pPr>
              <w:spacing w:line="400" w:lineRule="exact"/>
              <w:jc w:val="left"/>
              <w:rPr>
                <w:rFonts w:ascii="宋体"/>
                <w:b/>
                <w:szCs w:val="21"/>
                <w:highlight w:val="none"/>
              </w:rPr>
            </w:pPr>
            <w:r>
              <w:rPr>
                <w:rFonts w:hint="eastAsia" w:ascii="宋体" w:hAnsi="宋体"/>
                <w:b/>
                <w:szCs w:val="21"/>
                <w:highlight w:val="none"/>
              </w:rPr>
              <w:t>工程计量与工程款审核</w:t>
            </w:r>
          </w:p>
        </w:tc>
        <w:tc>
          <w:tcPr>
            <w:tcW w:w="2565" w:type="dxa"/>
          </w:tcPr>
          <w:p w14:paraId="4B4CFF2F">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63E697A5">
            <w:pPr>
              <w:spacing w:line="400" w:lineRule="exact"/>
              <w:jc w:val="left"/>
              <w:rPr>
                <w:rFonts w:ascii="宋体"/>
                <w:b/>
                <w:szCs w:val="21"/>
                <w:highlight w:val="none"/>
              </w:rPr>
            </w:pPr>
          </w:p>
        </w:tc>
        <w:tc>
          <w:tcPr>
            <w:tcW w:w="2024" w:type="dxa"/>
          </w:tcPr>
          <w:p w14:paraId="20549286">
            <w:pPr>
              <w:spacing w:line="400" w:lineRule="exact"/>
              <w:jc w:val="left"/>
              <w:rPr>
                <w:rFonts w:ascii="宋体"/>
                <w:b/>
                <w:szCs w:val="21"/>
                <w:highlight w:val="none"/>
              </w:rPr>
            </w:pPr>
          </w:p>
        </w:tc>
        <w:tc>
          <w:tcPr>
            <w:tcW w:w="2744" w:type="dxa"/>
          </w:tcPr>
          <w:p w14:paraId="6785E2A3">
            <w:pPr>
              <w:spacing w:line="400" w:lineRule="exact"/>
              <w:jc w:val="left"/>
              <w:rPr>
                <w:rFonts w:ascii="宋体"/>
                <w:b/>
                <w:szCs w:val="21"/>
                <w:highlight w:val="none"/>
              </w:rPr>
            </w:pPr>
          </w:p>
        </w:tc>
        <w:tc>
          <w:tcPr>
            <w:tcW w:w="1307" w:type="dxa"/>
          </w:tcPr>
          <w:p w14:paraId="16547DC1">
            <w:pPr>
              <w:spacing w:line="400" w:lineRule="exact"/>
              <w:jc w:val="left"/>
              <w:rPr>
                <w:rFonts w:ascii="宋体"/>
                <w:b/>
                <w:szCs w:val="21"/>
                <w:highlight w:val="none"/>
              </w:rPr>
            </w:pPr>
          </w:p>
        </w:tc>
      </w:tr>
      <w:tr w14:paraId="68E2F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48682FD">
            <w:pPr>
              <w:spacing w:line="400" w:lineRule="exact"/>
              <w:jc w:val="left"/>
              <w:rPr>
                <w:rFonts w:ascii="宋体"/>
                <w:b/>
                <w:szCs w:val="21"/>
                <w:highlight w:val="none"/>
              </w:rPr>
            </w:pPr>
          </w:p>
        </w:tc>
        <w:tc>
          <w:tcPr>
            <w:tcW w:w="1485" w:type="dxa"/>
          </w:tcPr>
          <w:p w14:paraId="475C0E88">
            <w:pPr>
              <w:spacing w:line="400" w:lineRule="exact"/>
              <w:jc w:val="left"/>
              <w:rPr>
                <w:rFonts w:ascii="宋体"/>
                <w:b/>
                <w:szCs w:val="21"/>
                <w:highlight w:val="none"/>
              </w:rPr>
            </w:pPr>
            <w:r>
              <w:rPr>
                <w:rFonts w:hint="eastAsia" w:ascii="宋体" w:hAnsi="宋体"/>
                <w:b/>
                <w:szCs w:val="21"/>
                <w:highlight w:val="none"/>
              </w:rPr>
              <w:t>合同价款调整</w:t>
            </w:r>
          </w:p>
        </w:tc>
        <w:tc>
          <w:tcPr>
            <w:tcW w:w="2565" w:type="dxa"/>
          </w:tcPr>
          <w:p w14:paraId="31A66374">
            <w:pPr>
              <w:spacing w:line="400" w:lineRule="exact"/>
              <w:jc w:val="left"/>
              <w:rPr>
                <w:rFonts w:ascii="宋体"/>
                <w:b/>
                <w:szCs w:val="21"/>
                <w:highlight w:val="none"/>
              </w:rPr>
            </w:pP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57423022">
            <w:pPr>
              <w:spacing w:line="400" w:lineRule="exact"/>
              <w:jc w:val="left"/>
              <w:rPr>
                <w:rFonts w:ascii="宋体"/>
                <w:b/>
                <w:szCs w:val="21"/>
                <w:highlight w:val="none"/>
              </w:rPr>
            </w:pPr>
          </w:p>
        </w:tc>
        <w:tc>
          <w:tcPr>
            <w:tcW w:w="2024" w:type="dxa"/>
          </w:tcPr>
          <w:p w14:paraId="213D5DC6">
            <w:pPr>
              <w:spacing w:line="400" w:lineRule="exact"/>
              <w:jc w:val="left"/>
              <w:rPr>
                <w:rFonts w:ascii="宋体"/>
                <w:b/>
                <w:szCs w:val="21"/>
                <w:highlight w:val="none"/>
              </w:rPr>
            </w:pPr>
          </w:p>
        </w:tc>
        <w:tc>
          <w:tcPr>
            <w:tcW w:w="2744" w:type="dxa"/>
          </w:tcPr>
          <w:p w14:paraId="4A432B1A">
            <w:pPr>
              <w:spacing w:line="400" w:lineRule="exact"/>
              <w:jc w:val="left"/>
              <w:rPr>
                <w:rFonts w:ascii="宋体"/>
                <w:b/>
                <w:szCs w:val="21"/>
                <w:highlight w:val="none"/>
              </w:rPr>
            </w:pPr>
          </w:p>
        </w:tc>
        <w:tc>
          <w:tcPr>
            <w:tcW w:w="1307" w:type="dxa"/>
          </w:tcPr>
          <w:p w14:paraId="0DD96ACD">
            <w:pPr>
              <w:spacing w:line="400" w:lineRule="exact"/>
              <w:jc w:val="left"/>
              <w:rPr>
                <w:rFonts w:ascii="宋体"/>
                <w:b/>
                <w:szCs w:val="21"/>
                <w:highlight w:val="none"/>
              </w:rPr>
            </w:pPr>
          </w:p>
        </w:tc>
      </w:tr>
      <w:tr w14:paraId="6DCE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65818CEE">
            <w:pPr>
              <w:spacing w:line="400" w:lineRule="exact"/>
              <w:jc w:val="left"/>
              <w:rPr>
                <w:rFonts w:ascii="宋体"/>
                <w:b/>
                <w:szCs w:val="21"/>
                <w:highlight w:val="none"/>
              </w:rPr>
            </w:pPr>
          </w:p>
        </w:tc>
        <w:tc>
          <w:tcPr>
            <w:tcW w:w="1485" w:type="dxa"/>
          </w:tcPr>
          <w:p w14:paraId="36086CE4">
            <w:pPr>
              <w:spacing w:line="400" w:lineRule="exact"/>
              <w:jc w:val="left"/>
              <w:rPr>
                <w:rFonts w:ascii="宋体"/>
                <w:b/>
                <w:szCs w:val="21"/>
                <w:highlight w:val="none"/>
              </w:rPr>
            </w:pPr>
            <w:r>
              <w:rPr>
                <w:rFonts w:hint="eastAsia" w:ascii="宋体" w:hAnsi="宋体"/>
                <w:b/>
                <w:szCs w:val="21"/>
                <w:highlight w:val="none"/>
              </w:rPr>
              <w:t>工程变更、索赔、签证</w:t>
            </w:r>
          </w:p>
        </w:tc>
        <w:tc>
          <w:tcPr>
            <w:tcW w:w="2565" w:type="dxa"/>
          </w:tcPr>
          <w:p w14:paraId="7C4625EA">
            <w:pPr>
              <w:spacing w:line="400" w:lineRule="exact"/>
              <w:jc w:val="left"/>
              <w:rPr>
                <w:rFonts w:ascii="宋体"/>
                <w:b/>
                <w:szCs w:val="21"/>
                <w:highlight w:val="none"/>
              </w:rPr>
            </w:pPr>
            <w:r>
              <w:rPr>
                <w:rFonts w:hint="eastAsia" w:ascii="宋体" w:hAnsi="宋体"/>
                <w:b/>
                <w:szCs w:val="21"/>
                <w:highlight w:val="none"/>
              </w:rPr>
              <w:sym w:font="Wingdings 2" w:char="0052"/>
            </w:r>
            <w:r>
              <w:rPr>
                <w:rFonts w:hint="eastAsia" w:ascii="宋体" w:hAnsi="宋体"/>
                <w:b/>
                <w:szCs w:val="21"/>
                <w:highlight w:val="none"/>
              </w:rPr>
              <w:t>审核</w:t>
            </w:r>
          </w:p>
        </w:tc>
        <w:tc>
          <w:tcPr>
            <w:tcW w:w="2024" w:type="dxa"/>
          </w:tcPr>
          <w:p w14:paraId="2A297FF7">
            <w:pPr>
              <w:spacing w:line="400" w:lineRule="exact"/>
              <w:jc w:val="left"/>
              <w:rPr>
                <w:rFonts w:ascii="宋体"/>
                <w:b/>
                <w:szCs w:val="21"/>
                <w:highlight w:val="none"/>
              </w:rPr>
            </w:pPr>
          </w:p>
        </w:tc>
        <w:tc>
          <w:tcPr>
            <w:tcW w:w="2024" w:type="dxa"/>
          </w:tcPr>
          <w:p w14:paraId="151EE73F">
            <w:pPr>
              <w:spacing w:line="400" w:lineRule="exact"/>
              <w:jc w:val="left"/>
              <w:rPr>
                <w:rFonts w:ascii="宋体"/>
                <w:b/>
                <w:szCs w:val="21"/>
                <w:highlight w:val="none"/>
              </w:rPr>
            </w:pPr>
          </w:p>
        </w:tc>
        <w:tc>
          <w:tcPr>
            <w:tcW w:w="2744" w:type="dxa"/>
          </w:tcPr>
          <w:p w14:paraId="5D9A1E6C">
            <w:pPr>
              <w:spacing w:line="400" w:lineRule="exact"/>
              <w:jc w:val="left"/>
              <w:rPr>
                <w:rFonts w:ascii="宋体"/>
                <w:b/>
                <w:szCs w:val="21"/>
                <w:highlight w:val="none"/>
              </w:rPr>
            </w:pPr>
          </w:p>
        </w:tc>
        <w:tc>
          <w:tcPr>
            <w:tcW w:w="1307" w:type="dxa"/>
          </w:tcPr>
          <w:p w14:paraId="7C8DFA76">
            <w:pPr>
              <w:spacing w:line="400" w:lineRule="exact"/>
              <w:jc w:val="left"/>
              <w:rPr>
                <w:rFonts w:ascii="宋体"/>
                <w:b/>
                <w:szCs w:val="21"/>
                <w:highlight w:val="none"/>
              </w:rPr>
            </w:pPr>
          </w:p>
        </w:tc>
      </w:tr>
      <w:tr w14:paraId="7372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22C22953">
            <w:pPr>
              <w:spacing w:line="400" w:lineRule="exact"/>
              <w:jc w:val="left"/>
              <w:rPr>
                <w:rFonts w:ascii="宋体"/>
                <w:b/>
                <w:szCs w:val="21"/>
                <w:highlight w:val="none"/>
              </w:rPr>
            </w:pPr>
          </w:p>
        </w:tc>
        <w:tc>
          <w:tcPr>
            <w:tcW w:w="1485" w:type="dxa"/>
          </w:tcPr>
          <w:p w14:paraId="0DB81D9D">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6B54B5F2">
            <w:pPr>
              <w:spacing w:line="400" w:lineRule="exact"/>
              <w:jc w:val="left"/>
              <w:rPr>
                <w:rFonts w:ascii="宋体"/>
                <w:b/>
                <w:szCs w:val="21"/>
                <w:highlight w:val="none"/>
              </w:rPr>
            </w:pPr>
          </w:p>
        </w:tc>
        <w:tc>
          <w:tcPr>
            <w:tcW w:w="2024" w:type="dxa"/>
          </w:tcPr>
          <w:p w14:paraId="2BD501AC">
            <w:pPr>
              <w:spacing w:line="400" w:lineRule="exact"/>
              <w:jc w:val="left"/>
              <w:rPr>
                <w:rFonts w:ascii="宋体"/>
                <w:b/>
                <w:szCs w:val="21"/>
                <w:highlight w:val="none"/>
              </w:rPr>
            </w:pPr>
          </w:p>
        </w:tc>
        <w:tc>
          <w:tcPr>
            <w:tcW w:w="2024" w:type="dxa"/>
          </w:tcPr>
          <w:p w14:paraId="25ADE799">
            <w:pPr>
              <w:spacing w:line="400" w:lineRule="exact"/>
              <w:jc w:val="left"/>
              <w:rPr>
                <w:rFonts w:ascii="宋体"/>
                <w:b/>
                <w:szCs w:val="21"/>
                <w:highlight w:val="none"/>
              </w:rPr>
            </w:pPr>
          </w:p>
        </w:tc>
        <w:tc>
          <w:tcPr>
            <w:tcW w:w="2744" w:type="dxa"/>
          </w:tcPr>
          <w:p w14:paraId="1B9A9055">
            <w:pPr>
              <w:spacing w:line="400" w:lineRule="exact"/>
              <w:jc w:val="left"/>
              <w:rPr>
                <w:rFonts w:ascii="宋体"/>
                <w:b/>
                <w:szCs w:val="21"/>
                <w:highlight w:val="none"/>
              </w:rPr>
            </w:pPr>
          </w:p>
        </w:tc>
        <w:tc>
          <w:tcPr>
            <w:tcW w:w="1307" w:type="dxa"/>
          </w:tcPr>
          <w:p w14:paraId="139FC5C1">
            <w:pPr>
              <w:spacing w:line="400" w:lineRule="exact"/>
              <w:jc w:val="left"/>
              <w:rPr>
                <w:rFonts w:ascii="宋体"/>
                <w:b/>
                <w:szCs w:val="21"/>
                <w:highlight w:val="none"/>
              </w:rPr>
            </w:pPr>
          </w:p>
        </w:tc>
      </w:tr>
      <w:tr w14:paraId="30113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7DF88B73">
            <w:pPr>
              <w:spacing w:line="400" w:lineRule="exact"/>
              <w:jc w:val="left"/>
              <w:rPr>
                <w:rFonts w:ascii="宋体"/>
                <w:b/>
                <w:szCs w:val="21"/>
                <w:highlight w:val="none"/>
              </w:rPr>
            </w:pPr>
            <w:r>
              <w:rPr>
                <w:rFonts w:hint="eastAsia" w:ascii="宋体" w:hAnsi="宋体"/>
                <w:b/>
                <w:szCs w:val="21"/>
                <w:highlight w:val="none"/>
              </w:rPr>
              <w:t>竣工阶段</w:t>
            </w:r>
          </w:p>
        </w:tc>
        <w:tc>
          <w:tcPr>
            <w:tcW w:w="1485" w:type="dxa"/>
          </w:tcPr>
          <w:p w14:paraId="430AA40D">
            <w:pPr>
              <w:spacing w:line="400" w:lineRule="exact"/>
              <w:jc w:val="left"/>
              <w:rPr>
                <w:rFonts w:ascii="宋体"/>
                <w:b/>
                <w:szCs w:val="21"/>
                <w:highlight w:val="none"/>
              </w:rPr>
            </w:pPr>
            <w:r>
              <w:rPr>
                <w:rFonts w:hint="eastAsia" w:ascii="宋体" w:hAnsi="宋体"/>
                <w:b/>
                <w:szCs w:val="21"/>
                <w:highlight w:val="none"/>
              </w:rPr>
              <w:t>竣工结算</w:t>
            </w:r>
          </w:p>
        </w:tc>
        <w:tc>
          <w:tcPr>
            <w:tcW w:w="2565" w:type="dxa"/>
          </w:tcPr>
          <w:p w14:paraId="0A446882">
            <w:pPr>
              <w:spacing w:line="400" w:lineRule="exact"/>
              <w:jc w:val="left"/>
              <w:rPr>
                <w:rFonts w:ascii="宋体"/>
                <w:b/>
                <w:szCs w:val="21"/>
                <w:highlight w:val="none"/>
              </w:rPr>
            </w:pP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7D69F846">
            <w:pPr>
              <w:spacing w:line="400" w:lineRule="exact"/>
              <w:jc w:val="left"/>
              <w:rPr>
                <w:rFonts w:ascii="宋体"/>
                <w:b/>
                <w:szCs w:val="21"/>
                <w:highlight w:val="none"/>
              </w:rPr>
            </w:pPr>
          </w:p>
        </w:tc>
        <w:tc>
          <w:tcPr>
            <w:tcW w:w="2024" w:type="dxa"/>
          </w:tcPr>
          <w:p w14:paraId="65668658">
            <w:pPr>
              <w:spacing w:line="400" w:lineRule="exact"/>
              <w:jc w:val="left"/>
              <w:rPr>
                <w:rFonts w:ascii="宋体"/>
                <w:b/>
                <w:szCs w:val="21"/>
                <w:highlight w:val="none"/>
              </w:rPr>
            </w:pPr>
          </w:p>
        </w:tc>
        <w:tc>
          <w:tcPr>
            <w:tcW w:w="2744" w:type="dxa"/>
          </w:tcPr>
          <w:p w14:paraId="293CD3FC">
            <w:pPr>
              <w:spacing w:line="400" w:lineRule="exact"/>
              <w:jc w:val="left"/>
              <w:rPr>
                <w:rFonts w:ascii="宋体"/>
                <w:b/>
                <w:szCs w:val="21"/>
                <w:highlight w:val="none"/>
              </w:rPr>
            </w:pPr>
          </w:p>
        </w:tc>
        <w:tc>
          <w:tcPr>
            <w:tcW w:w="1307" w:type="dxa"/>
          </w:tcPr>
          <w:p w14:paraId="1D9D213F">
            <w:pPr>
              <w:spacing w:line="400" w:lineRule="exact"/>
              <w:jc w:val="left"/>
              <w:rPr>
                <w:rFonts w:ascii="宋体"/>
                <w:b/>
                <w:szCs w:val="21"/>
                <w:highlight w:val="none"/>
              </w:rPr>
            </w:pPr>
          </w:p>
        </w:tc>
      </w:tr>
      <w:tr w14:paraId="1BA33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FA956E3">
            <w:pPr>
              <w:spacing w:line="400" w:lineRule="exact"/>
              <w:jc w:val="left"/>
              <w:rPr>
                <w:rFonts w:ascii="宋体"/>
                <w:b/>
                <w:szCs w:val="21"/>
                <w:highlight w:val="none"/>
              </w:rPr>
            </w:pPr>
          </w:p>
        </w:tc>
        <w:tc>
          <w:tcPr>
            <w:tcW w:w="1485" w:type="dxa"/>
          </w:tcPr>
          <w:p w14:paraId="3E76FA70">
            <w:pPr>
              <w:spacing w:line="400" w:lineRule="exact"/>
              <w:jc w:val="left"/>
              <w:rPr>
                <w:rFonts w:ascii="宋体"/>
                <w:b/>
                <w:szCs w:val="21"/>
                <w:highlight w:val="none"/>
              </w:rPr>
            </w:pPr>
            <w:r>
              <w:rPr>
                <w:rFonts w:hint="eastAsia" w:ascii="宋体" w:hAnsi="宋体"/>
                <w:b/>
                <w:szCs w:val="21"/>
                <w:highlight w:val="none"/>
              </w:rPr>
              <w:t>竣工决算</w:t>
            </w:r>
          </w:p>
        </w:tc>
        <w:tc>
          <w:tcPr>
            <w:tcW w:w="2565" w:type="dxa"/>
          </w:tcPr>
          <w:p w14:paraId="75726876">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411E6589">
            <w:pPr>
              <w:spacing w:line="400" w:lineRule="exact"/>
              <w:jc w:val="left"/>
              <w:rPr>
                <w:rFonts w:ascii="宋体"/>
                <w:b/>
                <w:szCs w:val="21"/>
                <w:highlight w:val="none"/>
              </w:rPr>
            </w:pPr>
          </w:p>
        </w:tc>
        <w:tc>
          <w:tcPr>
            <w:tcW w:w="2024" w:type="dxa"/>
          </w:tcPr>
          <w:p w14:paraId="462A1D8C">
            <w:pPr>
              <w:spacing w:line="400" w:lineRule="exact"/>
              <w:jc w:val="left"/>
              <w:rPr>
                <w:rFonts w:ascii="宋体"/>
                <w:b/>
                <w:szCs w:val="21"/>
                <w:highlight w:val="none"/>
              </w:rPr>
            </w:pPr>
          </w:p>
        </w:tc>
        <w:tc>
          <w:tcPr>
            <w:tcW w:w="2744" w:type="dxa"/>
          </w:tcPr>
          <w:p w14:paraId="58BC6976">
            <w:pPr>
              <w:spacing w:line="400" w:lineRule="exact"/>
              <w:jc w:val="left"/>
              <w:rPr>
                <w:rFonts w:ascii="宋体"/>
                <w:b/>
                <w:szCs w:val="21"/>
                <w:highlight w:val="none"/>
              </w:rPr>
            </w:pPr>
          </w:p>
        </w:tc>
        <w:tc>
          <w:tcPr>
            <w:tcW w:w="1307" w:type="dxa"/>
          </w:tcPr>
          <w:p w14:paraId="4F26B965">
            <w:pPr>
              <w:spacing w:line="400" w:lineRule="exact"/>
              <w:jc w:val="left"/>
              <w:rPr>
                <w:rFonts w:ascii="宋体"/>
                <w:b/>
                <w:szCs w:val="21"/>
                <w:highlight w:val="none"/>
              </w:rPr>
            </w:pPr>
          </w:p>
        </w:tc>
      </w:tr>
      <w:tr w14:paraId="309C3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F6517EE">
            <w:pPr>
              <w:spacing w:line="400" w:lineRule="exact"/>
              <w:jc w:val="left"/>
              <w:rPr>
                <w:rFonts w:ascii="宋体"/>
                <w:b/>
                <w:szCs w:val="21"/>
                <w:highlight w:val="none"/>
              </w:rPr>
            </w:pPr>
          </w:p>
        </w:tc>
        <w:tc>
          <w:tcPr>
            <w:tcW w:w="1485" w:type="dxa"/>
          </w:tcPr>
          <w:p w14:paraId="4453E7C4">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61EF3007">
            <w:pPr>
              <w:spacing w:line="400" w:lineRule="exact"/>
              <w:jc w:val="left"/>
              <w:rPr>
                <w:rFonts w:ascii="宋体"/>
                <w:b/>
                <w:szCs w:val="21"/>
                <w:highlight w:val="none"/>
              </w:rPr>
            </w:pPr>
          </w:p>
        </w:tc>
        <w:tc>
          <w:tcPr>
            <w:tcW w:w="2024" w:type="dxa"/>
          </w:tcPr>
          <w:p w14:paraId="301276FA">
            <w:pPr>
              <w:spacing w:line="400" w:lineRule="exact"/>
              <w:jc w:val="left"/>
              <w:rPr>
                <w:rFonts w:ascii="宋体"/>
                <w:b/>
                <w:szCs w:val="21"/>
                <w:highlight w:val="none"/>
              </w:rPr>
            </w:pPr>
          </w:p>
        </w:tc>
        <w:tc>
          <w:tcPr>
            <w:tcW w:w="2024" w:type="dxa"/>
          </w:tcPr>
          <w:p w14:paraId="4F6B2704">
            <w:pPr>
              <w:spacing w:line="400" w:lineRule="exact"/>
              <w:jc w:val="left"/>
              <w:rPr>
                <w:rFonts w:ascii="宋体"/>
                <w:b/>
                <w:szCs w:val="21"/>
                <w:highlight w:val="none"/>
              </w:rPr>
            </w:pPr>
          </w:p>
        </w:tc>
        <w:tc>
          <w:tcPr>
            <w:tcW w:w="2744" w:type="dxa"/>
          </w:tcPr>
          <w:p w14:paraId="5CC4A842">
            <w:pPr>
              <w:spacing w:line="400" w:lineRule="exact"/>
              <w:jc w:val="left"/>
              <w:rPr>
                <w:rFonts w:ascii="宋体"/>
                <w:b/>
                <w:szCs w:val="21"/>
                <w:highlight w:val="none"/>
              </w:rPr>
            </w:pPr>
          </w:p>
        </w:tc>
        <w:tc>
          <w:tcPr>
            <w:tcW w:w="1307" w:type="dxa"/>
          </w:tcPr>
          <w:p w14:paraId="7F77C3B7">
            <w:pPr>
              <w:spacing w:line="400" w:lineRule="exact"/>
              <w:jc w:val="left"/>
              <w:rPr>
                <w:rFonts w:ascii="宋体"/>
                <w:b/>
                <w:szCs w:val="21"/>
                <w:highlight w:val="none"/>
              </w:rPr>
            </w:pPr>
          </w:p>
        </w:tc>
      </w:tr>
      <w:tr w14:paraId="17F0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tcPr>
          <w:p w14:paraId="7425962E">
            <w:pPr>
              <w:spacing w:line="400" w:lineRule="exact"/>
              <w:jc w:val="left"/>
              <w:rPr>
                <w:rFonts w:ascii="宋体"/>
                <w:b/>
                <w:szCs w:val="21"/>
                <w:highlight w:val="none"/>
              </w:rPr>
            </w:pPr>
            <w:r>
              <w:rPr>
                <w:rFonts w:hint="eastAsia" w:ascii="宋体" w:hAnsi="宋体"/>
                <w:b/>
                <w:szCs w:val="21"/>
                <w:highlight w:val="none"/>
              </w:rPr>
              <w:t>其他服务</w:t>
            </w:r>
          </w:p>
        </w:tc>
        <w:tc>
          <w:tcPr>
            <w:tcW w:w="1485" w:type="dxa"/>
          </w:tcPr>
          <w:p w14:paraId="60FF5ABF">
            <w:pPr>
              <w:spacing w:line="400" w:lineRule="exact"/>
              <w:jc w:val="left"/>
              <w:rPr>
                <w:rFonts w:ascii="宋体"/>
                <w:b/>
                <w:szCs w:val="21"/>
                <w:highlight w:val="none"/>
              </w:rPr>
            </w:pPr>
            <w:r>
              <w:rPr>
                <w:rFonts w:hint="eastAsia" w:ascii="宋体" w:hAnsi="宋体"/>
                <w:b/>
                <w:szCs w:val="21"/>
                <w:highlight w:val="none"/>
              </w:rPr>
              <w:t>工程造价鉴定</w:t>
            </w:r>
          </w:p>
        </w:tc>
        <w:tc>
          <w:tcPr>
            <w:tcW w:w="2565" w:type="dxa"/>
          </w:tcPr>
          <w:p w14:paraId="3F492AED">
            <w:pPr>
              <w:spacing w:line="400" w:lineRule="exact"/>
              <w:jc w:val="left"/>
              <w:rPr>
                <w:rFonts w:ascii="宋体"/>
                <w:b/>
                <w:szCs w:val="21"/>
                <w:highlight w:val="none"/>
              </w:rPr>
            </w:pPr>
          </w:p>
        </w:tc>
        <w:tc>
          <w:tcPr>
            <w:tcW w:w="2024" w:type="dxa"/>
          </w:tcPr>
          <w:p w14:paraId="7500A242">
            <w:pPr>
              <w:spacing w:line="400" w:lineRule="exact"/>
              <w:jc w:val="left"/>
              <w:rPr>
                <w:rFonts w:ascii="宋体"/>
                <w:b/>
                <w:szCs w:val="21"/>
                <w:highlight w:val="none"/>
              </w:rPr>
            </w:pPr>
          </w:p>
        </w:tc>
        <w:tc>
          <w:tcPr>
            <w:tcW w:w="2024" w:type="dxa"/>
          </w:tcPr>
          <w:p w14:paraId="345DA7DA">
            <w:pPr>
              <w:spacing w:line="400" w:lineRule="exact"/>
              <w:jc w:val="left"/>
              <w:rPr>
                <w:rFonts w:ascii="宋体"/>
                <w:b/>
                <w:szCs w:val="21"/>
                <w:highlight w:val="none"/>
              </w:rPr>
            </w:pPr>
          </w:p>
        </w:tc>
        <w:tc>
          <w:tcPr>
            <w:tcW w:w="2744" w:type="dxa"/>
          </w:tcPr>
          <w:p w14:paraId="07FD2300">
            <w:pPr>
              <w:spacing w:line="400" w:lineRule="exact"/>
              <w:jc w:val="left"/>
              <w:rPr>
                <w:rFonts w:ascii="宋体"/>
                <w:b/>
                <w:szCs w:val="21"/>
                <w:highlight w:val="none"/>
              </w:rPr>
            </w:pPr>
          </w:p>
        </w:tc>
        <w:tc>
          <w:tcPr>
            <w:tcW w:w="1307" w:type="dxa"/>
          </w:tcPr>
          <w:p w14:paraId="15347172">
            <w:pPr>
              <w:spacing w:line="400" w:lineRule="exact"/>
              <w:jc w:val="left"/>
              <w:rPr>
                <w:rFonts w:ascii="宋体"/>
                <w:b/>
                <w:szCs w:val="21"/>
                <w:highlight w:val="none"/>
              </w:rPr>
            </w:pPr>
          </w:p>
        </w:tc>
      </w:tr>
    </w:tbl>
    <w:p w14:paraId="1132B07F">
      <w:pPr>
        <w:spacing w:line="400" w:lineRule="exact"/>
        <w:ind w:firstLine="420" w:firstLineChars="200"/>
        <w:jc w:val="left"/>
        <w:rPr>
          <w:rFonts w:ascii="宋体"/>
          <w:szCs w:val="21"/>
          <w:highlight w:val="none"/>
        </w:rPr>
      </w:pPr>
      <w:r>
        <w:rPr>
          <w:rFonts w:hint="eastAsia" w:ascii="宋体" w:hAnsi="宋体"/>
          <w:szCs w:val="21"/>
          <w:highlight w:val="none"/>
        </w:rPr>
        <w:t>注：</w:t>
      </w:r>
      <w:r>
        <w:rPr>
          <w:rFonts w:ascii="宋体" w:hAnsi="宋体"/>
          <w:szCs w:val="21"/>
          <w:highlight w:val="none"/>
        </w:rPr>
        <w:t xml:space="preserve">  1.</w:t>
      </w:r>
      <w:r>
        <w:rPr>
          <w:rFonts w:hint="eastAsia" w:ascii="宋体" w:hAnsi="宋体"/>
          <w:szCs w:val="21"/>
          <w:highlight w:val="none"/>
        </w:rPr>
        <w:t>附件9中服务范围及工作内容未涉及的可在“其他”项中列明。</w:t>
      </w:r>
    </w:p>
    <w:p w14:paraId="60A9C2D7">
      <w:pPr>
        <w:spacing w:line="400" w:lineRule="exact"/>
        <w:ind w:firstLine="1050" w:firstLineChars="500"/>
        <w:jc w:val="left"/>
        <w:rPr>
          <w:rFonts w:hint="eastAsia" w:ascii="宋体" w:hAnsi="宋体"/>
          <w:szCs w:val="21"/>
          <w:highlight w:val="none"/>
          <w:u w:val="single"/>
        </w:rPr>
      </w:pPr>
      <w:r>
        <w:rPr>
          <w:rFonts w:ascii="宋体" w:hAnsi="宋体"/>
          <w:szCs w:val="21"/>
          <w:highlight w:val="none"/>
        </w:rPr>
        <w:t>2.</w:t>
      </w:r>
      <w:r>
        <w:rPr>
          <w:rFonts w:hint="eastAsia" w:ascii="宋体" w:hAnsi="宋体"/>
          <w:szCs w:val="21"/>
          <w:highlight w:val="none"/>
        </w:rPr>
        <w:t>实行全过程造价咨询的工程，服务范围及工作内容按上表，酬金及计取方式为：</w:t>
      </w:r>
    </w:p>
    <w:p w14:paraId="6BA48F9D">
      <w:pPr>
        <w:spacing w:line="400" w:lineRule="exact"/>
        <w:ind w:firstLine="1050" w:firstLineChars="500"/>
        <w:jc w:val="left"/>
        <w:rPr>
          <w:rFonts w:hint="eastAsia" w:ascii="宋体" w:hAnsi="宋体"/>
          <w:szCs w:val="21"/>
          <w:highlight w:val="none"/>
          <w:u w:val="single"/>
        </w:rPr>
      </w:pPr>
    </w:p>
    <w:p w14:paraId="23266E40">
      <w:pPr>
        <w:spacing w:line="400" w:lineRule="exact"/>
        <w:ind w:firstLine="1050" w:firstLineChars="500"/>
        <w:jc w:val="left"/>
        <w:rPr>
          <w:rFonts w:hint="eastAsia" w:ascii="宋体" w:hAnsi="宋体"/>
          <w:szCs w:val="21"/>
          <w:highlight w:val="none"/>
          <w:u w:val="single"/>
        </w:rPr>
      </w:pPr>
    </w:p>
    <w:p w14:paraId="4C4B5573">
      <w:pPr>
        <w:spacing w:line="400" w:lineRule="exact"/>
        <w:jc w:val="left"/>
        <w:rPr>
          <w:rFonts w:ascii="宋体"/>
          <w:szCs w:val="21"/>
          <w:highlight w:val="none"/>
          <w:u w:val="single"/>
        </w:rPr>
        <w:sectPr>
          <w:pgSz w:w="16838" w:h="11906" w:orient="landscape"/>
          <w:pgMar w:top="1474" w:right="1418" w:bottom="1418" w:left="1418" w:header="851" w:footer="992" w:gutter="0"/>
          <w:pgNumType w:fmt="numberInDash"/>
          <w:cols w:space="720" w:num="1"/>
          <w:docGrid w:type="linesAndChars" w:linePitch="286" w:charSpace="0"/>
        </w:sectPr>
      </w:pPr>
    </w:p>
    <w:p w14:paraId="4FCD4122">
      <w:pPr>
        <w:spacing w:line="360" w:lineRule="auto"/>
        <w:jc w:val="left"/>
        <w:outlineLvl w:val="3"/>
        <w:rPr>
          <w:rFonts w:hint="eastAsia" w:ascii="宋体" w:hAnsi="宋体"/>
          <w:b/>
          <w:bCs/>
          <w:sz w:val="24"/>
          <w:szCs w:val="24"/>
          <w:highlight w:val="none"/>
        </w:rPr>
      </w:pPr>
      <w:bookmarkStart w:id="350" w:name="_Toc527955051"/>
      <w:r>
        <w:rPr>
          <w:rFonts w:hint="eastAsia" w:ascii="宋体" w:hAnsi="宋体"/>
          <w:b/>
          <w:bCs/>
          <w:sz w:val="24"/>
          <w:szCs w:val="24"/>
          <w:highlight w:val="none"/>
        </w:rPr>
        <w:t>附件10</w:t>
      </w:r>
    </w:p>
    <w:p w14:paraId="1048903E">
      <w:pPr>
        <w:spacing w:line="360" w:lineRule="auto"/>
        <w:jc w:val="left"/>
        <w:outlineLvl w:val="3"/>
        <w:rPr>
          <w:rFonts w:ascii="宋体"/>
          <w:b/>
          <w:bCs/>
          <w:sz w:val="24"/>
          <w:highlight w:val="none"/>
        </w:rPr>
      </w:pPr>
      <w:r>
        <w:rPr>
          <w:rFonts w:hint="eastAsia" w:ascii="宋体" w:hAnsi="宋体"/>
          <w:b/>
          <w:bCs/>
          <w:sz w:val="24"/>
          <w:highlight w:val="none"/>
        </w:rPr>
        <w:t>造价咨询提交成果文件一览表</w:t>
      </w:r>
    </w:p>
    <w:bookmarkEnd w:id="350"/>
    <w:tbl>
      <w:tblPr>
        <w:tblStyle w:val="34"/>
        <w:tblpPr w:topFromText="180" w:bottomFromText="180" w:vertAnchor="text" w:horzAnchor="margin" w:tblpY="288"/>
        <w:tblOverlap w:val="never"/>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3"/>
        <w:gridCol w:w="2733"/>
        <w:gridCol w:w="2767"/>
        <w:gridCol w:w="2081"/>
        <w:gridCol w:w="1732"/>
        <w:gridCol w:w="2098"/>
      </w:tblGrid>
      <w:tr w14:paraId="5EE07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tcPr>
          <w:p w14:paraId="4AD25AA9">
            <w:pPr>
              <w:spacing w:line="400" w:lineRule="exact"/>
              <w:jc w:val="left"/>
              <w:rPr>
                <w:rFonts w:ascii="宋体"/>
                <w:szCs w:val="21"/>
                <w:highlight w:val="none"/>
              </w:rPr>
            </w:pPr>
            <w:bookmarkStart w:id="351" w:name="_Toc387244119"/>
            <w:bookmarkStart w:id="352" w:name="_Toc527955052"/>
            <w:r>
              <w:rPr>
                <w:rFonts w:hint="eastAsia" w:ascii="宋体" w:hAnsi="宋体"/>
                <w:szCs w:val="21"/>
                <w:highlight w:val="none"/>
              </w:rPr>
              <w:t>服务阶段</w:t>
            </w:r>
          </w:p>
        </w:tc>
        <w:tc>
          <w:tcPr>
            <w:tcW w:w="2733" w:type="dxa"/>
          </w:tcPr>
          <w:p w14:paraId="02ECF1D2">
            <w:pPr>
              <w:spacing w:line="400" w:lineRule="exact"/>
              <w:jc w:val="left"/>
              <w:rPr>
                <w:rFonts w:ascii="宋体"/>
                <w:szCs w:val="21"/>
                <w:highlight w:val="none"/>
              </w:rPr>
            </w:pPr>
            <w:r>
              <w:rPr>
                <w:rFonts w:hint="eastAsia" w:ascii="宋体" w:hAnsi="宋体"/>
                <w:szCs w:val="21"/>
                <w:highlight w:val="none"/>
              </w:rPr>
              <w:t>成果文件名称</w:t>
            </w:r>
          </w:p>
        </w:tc>
        <w:tc>
          <w:tcPr>
            <w:tcW w:w="2767" w:type="dxa"/>
          </w:tcPr>
          <w:p w14:paraId="5705B265">
            <w:pPr>
              <w:spacing w:line="400" w:lineRule="exact"/>
              <w:jc w:val="left"/>
              <w:rPr>
                <w:rFonts w:ascii="宋体"/>
                <w:szCs w:val="21"/>
                <w:highlight w:val="none"/>
              </w:rPr>
            </w:pPr>
            <w:r>
              <w:rPr>
                <w:rFonts w:hint="eastAsia" w:ascii="宋体" w:hAnsi="宋体"/>
                <w:szCs w:val="21"/>
                <w:highlight w:val="none"/>
              </w:rPr>
              <w:t>成果文件组成</w:t>
            </w:r>
          </w:p>
        </w:tc>
        <w:tc>
          <w:tcPr>
            <w:tcW w:w="2081" w:type="dxa"/>
          </w:tcPr>
          <w:p w14:paraId="1099B3E0">
            <w:pPr>
              <w:spacing w:line="400" w:lineRule="exact"/>
              <w:jc w:val="left"/>
              <w:rPr>
                <w:rFonts w:ascii="宋体"/>
                <w:szCs w:val="21"/>
                <w:highlight w:val="none"/>
              </w:rPr>
            </w:pPr>
            <w:r>
              <w:rPr>
                <w:rFonts w:hint="eastAsia" w:ascii="宋体" w:hAnsi="宋体"/>
                <w:szCs w:val="21"/>
                <w:highlight w:val="none"/>
              </w:rPr>
              <w:t>提交时间</w:t>
            </w:r>
          </w:p>
        </w:tc>
        <w:tc>
          <w:tcPr>
            <w:tcW w:w="1732" w:type="dxa"/>
          </w:tcPr>
          <w:p w14:paraId="7396410F">
            <w:pPr>
              <w:spacing w:line="400" w:lineRule="exact"/>
              <w:jc w:val="left"/>
              <w:rPr>
                <w:rFonts w:ascii="宋体"/>
                <w:szCs w:val="21"/>
                <w:highlight w:val="none"/>
              </w:rPr>
            </w:pPr>
            <w:r>
              <w:rPr>
                <w:rFonts w:hint="eastAsia" w:ascii="宋体" w:hAnsi="宋体"/>
                <w:szCs w:val="21"/>
                <w:highlight w:val="none"/>
              </w:rPr>
              <w:t>份数</w:t>
            </w:r>
          </w:p>
        </w:tc>
        <w:tc>
          <w:tcPr>
            <w:tcW w:w="2098" w:type="dxa"/>
          </w:tcPr>
          <w:p w14:paraId="664ACE7D">
            <w:pPr>
              <w:spacing w:line="400" w:lineRule="exact"/>
              <w:jc w:val="left"/>
              <w:rPr>
                <w:rFonts w:ascii="宋体"/>
                <w:szCs w:val="21"/>
                <w:highlight w:val="none"/>
              </w:rPr>
            </w:pPr>
            <w:r>
              <w:rPr>
                <w:rFonts w:hint="eastAsia" w:ascii="宋体" w:hAnsi="宋体"/>
                <w:szCs w:val="21"/>
                <w:highlight w:val="none"/>
              </w:rPr>
              <w:t>质量标准</w:t>
            </w:r>
          </w:p>
        </w:tc>
      </w:tr>
      <w:tr w14:paraId="642B8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6525A966">
            <w:pPr>
              <w:spacing w:line="400" w:lineRule="exact"/>
              <w:jc w:val="left"/>
              <w:rPr>
                <w:rFonts w:ascii="宋体"/>
                <w:szCs w:val="21"/>
                <w:highlight w:val="none"/>
              </w:rPr>
            </w:pPr>
            <w:r>
              <w:rPr>
                <w:rFonts w:hint="eastAsia" w:ascii="宋体" w:hAnsi="宋体"/>
                <w:szCs w:val="21"/>
                <w:highlight w:val="none"/>
              </w:rPr>
              <w:t>决策阶段</w:t>
            </w:r>
          </w:p>
        </w:tc>
        <w:tc>
          <w:tcPr>
            <w:tcW w:w="2733" w:type="dxa"/>
          </w:tcPr>
          <w:p w14:paraId="70E0A051">
            <w:pPr>
              <w:spacing w:line="400" w:lineRule="exact"/>
              <w:jc w:val="left"/>
              <w:rPr>
                <w:rFonts w:ascii="宋体"/>
                <w:szCs w:val="21"/>
                <w:highlight w:val="none"/>
              </w:rPr>
            </w:pPr>
          </w:p>
        </w:tc>
        <w:tc>
          <w:tcPr>
            <w:tcW w:w="2767" w:type="dxa"/>
          </w:tcPr>
          <w:p w14:paraId="747343B3">
            <w:pPr>
              <w:spacing w:line="400" w:lineRule="exact"/>
              <w:jc w:val="left"/>
              <w:rPr>
                <w:rFonts w:ascii="宋体"/>
                <w:szCs w:val="21"/>
                <w:highlight w:val="none"/>
              </w:rPr>
            </w:pPr>
          </w:p>
        </w:tc>
        <w:tc>
          <w:tcPr>
            <w:tcW w:w="2081" w:type="dxa"/>
          </w:tcPr>
          <w:p w14:paraId="04F92909">
            <w:pPr>
              <w:spacing w:line="400" w:lineRule="exact"/>
              <w:jc w:val="left"/>
              <w:rPr>
                <w:rFonts w:ascii="宋体"/>
                <w:szCs w:val="21"/>
                <w:highlight w:val="none"/>
              </w:rPr>
            </w:pPr>
          </w:p>
        </w:tc>
        <w:tc>
          <w:tcPr>
            <w:tcW w:w="1732" w:type="dxa"/>
          </w:tcPr>
          <w:p w14:paraId="65A7ED3F">
            <w:pPr>
              <w:spacing w:line="400" w:lineRule="exact"/>
              <w:jc w:val="left"/>
              <w:rPr>
                <w:rFonts w:ascii="宋体"/>
                <w:szCs w:val="21"/>
                <w:highlight w:val="none"/>
              </w:rPr>
            </w:pPr>
          </w:p>
        </w:tc>
        <w:tc>
          <w:tcPr>
            <w:tcW w:w="2098" w:type="dxa"/>
          </w:tcPr>
          <w:p w14:paraId="764585D1">
            <w:pPr>
              <w:spacing w:line="400" w:lineRule="exact"/>
              <w:jc w:val="left"/>
              <w:rPr>
                <w:rFonts w:ascii="宋体"/>
                <w:szCs w:val="21"/>
                <w:highlight w:val="none"/>
              </w:rPr>
            </w:pPr>
          </w:p>
        </w:tc>
      </w:tr>
      <w:tr w14:paraId="55AE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5DC603D">
            <w:pPr>
              <w:spacing w:line="400" w:lineRule="exact"/>
              <w:jc w:val="left"/>
              <w:rPr>
                <w:rFonts w:ascii="宋体"/>
                <w:szCs w:val="21"/>
                <w:highlight w:val="none"/>
              </w:rPr>
            </w:pPr>
          </w:p>
        </w:tc>
        <w:tc>
          <w:tcPr>
            <w:tcW w:w="2733" w:type="dxa"/>
          </w:tcPr>
          <w:p w14:paraId="2264EA5D">
            <w:pPr>
              <w:spacing w:line="400" w:lineRule="exact"/>
              <w:jc w:val="left"/>
              <w:rPr>
                <w:rFonts w:ascii="宋体"/>
                <w:szCs w:val="21"/>
                <w:highlight w:val="none"/>
              </w:rPr>
            </w:pPr>
          </w:p>
        </w:tc>
        <w:tc>
          <w:tcPr>
            <w:tcW w:w="2767" w:type="dxa"/>
          </w:tcPr>
          <w:p w14:paraId="147FC256">
            <w:pPr>
              <w:spacing w:line="400" w:lineRule="exact"/>
              <w:jc w:val="left"/>
              <w:rPr>
                <w:rFonts w:ascii="宋体"/>
                <w:szCs w:val="21"/>
                <w:highlight w:val="none"/>
              </w:rPr>
            </w:pPr>
          </w:p>
        </w:tc>
        <w:tc>
          <w:tcPr>
            <w:tcW w:w="2081" w:type="dxa"/>
          </w:tcPr>
          <w:p w14:paraId="044F1AD6">
            <w:pPr>
              <w:spacing w:line="400" w:lineRule="exact"/>
              <w:jc w:val="left"/>
              <w:rPr>
                <w:rFonts w:ascii="宋体"/>
                <w:szCs w:val="21"/>
                <w:highlight w:val="none"/>
              </w:rPr>
            </w:pPr>
          </w:p>
        </w:tc>
        <w:tc>
          <w:tcPr>
            <w:tcW w:w="1732" w:type="dxa"/>
          </w:tcPr>
          <w:p w14:paraId="69C5430E">
            <w:pPr>
              <w:spacing w:line="400" w:lineRule="exact"/>
              <w:jc w:val="left"/>
              <w:rPr>
                <w:rFonts w:ascii="宋体"/>
                <w:szCs w:val="21"/>
                <w:highlight w:val="none"/>
              </w:rPr>
            </w:pPr>
          </w:p>
        </w:tc>
        <w:tc>
          <w:tcPr>
            <w:tcW w:w="2098" w:type="dxa"/>
          </w:tcPr>
          <w:p w14:paraId="4FAA5C95">
            <w:pPr>
              <w:spacing w:line="400" w:lineRule="exact"/>
              <w:jc w:val="left"/>
              <w:rPr>
                <w:rFonts w:ascii="宋体"/>
                <w:szCs w:val="21"/>
                <w:highlight w:val="none"/>
              </w:rPr>
            </w:pPr>
          </w:p>
        </w:tc>
      </w:tr>
      <w:tr w14:paraId="4F43B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66C8FBC">
            <w:pPr>
              <w:spacing w:line="400" w:lineRule="exact"/>
              <w:jc w:val="left"/>
              <w:rPr>
                <w:rFonts w:ascii="宋体"/>
                <w:szCs w:val="21"/>
                <w:highlight w:val="none"/>
              </w:rPr>
            </w:pPr>
          </w:p>
        </w:tc>
        <w:tc>
          <w:tcPr>
            <w:tcW w:w="2733" w:type="dxa"/>
          </w:tcPr>
          <w:p w14:paraId="2DD2D7B8">
            <w:pPr>
              <w:spacing w:line="400" w:lineRule="exact"/>
              <w:jc w:val="left"/>
              <w:rPr>
                <w:rFonts w:ascii="宋体"/>
                <w:szCs w:val="21"/>
                <w:highlight w:val="none"/>
              </w:rPr>
            </w:pPr>
          </w:p>
        </w:tc>
        <w:tc>
          <w:tcPr>
            <w:tcW w:w="2767" w:type="dxa"/>
          </w:tcPr>
          <w:p w14:paraId="0CAA7F12">
            <w:pPr>
              <w:spacing w:line="400" w:lineRule="exact"/>
              <w:jc w:val="left"/>
              <w:rPr>
                <w:rFonts w:ascii="宋体"/>
                <w:szCs w:val="21"/>
                <w:highlight w:val="none"/>
              </w:rPr>
            </w:pPr>
          </w:p>
        </w:tc>
        <w:tc>
          <w:tcPr>
            <w:tcW w:w="2081" w:type="dxa"/>
          </w:tcPr>
          <w:p w14:paraId="03D9851F">
            <w:pPr>
              <w:spacing w:line="400" w:lineRule="exact"/>
              <w:jc w:val="left"/>
              <w:rPr>
                <w:rFonts w:ascii="宋体"/>
                <w:szCs w:val="21"/>
                <w:highlight w:val="none"/>
              </w:rPr>
            </w:pPr>
          </w:p>
        </w:tc>
        <w:tc>
          <w:tcPr>
            <w:tcW w:w="1732" w:type="dxa"/>
          </w:tcPr>
          <w:p w14:paraId="4AD4B6D9">
            <w:pPr>
              <w:spacing w:line="400" w:lineRule="exact"/>
              <w:jc w:val="left"/>
              <w:rPr>
                <w:rFonts w:ascii="宋体"/>
                <w:szCs w:val="21"/>
                <w:highlight w:val="none"/>
              </w:rPr>
            </w:pPr>
          </w:p>
        </w:tc>
        <w:tc>
          <w:tcPr>
            <w:tcW w:w="2098" w:type="dxa"/>
          </w:tcPr>
          <w:p w14:paraId="5D7792B3">
            <w:pPr>
              <w:spacing w:line="400" w:lineRule="exact"/>
              <w:jc w:val="left"/>
              <w:rPr>
                <w:rFonts w:ascii="宋体"/>
                <w:szCs w:val="21"/>
                <w:highlight w:val="none"/>
              </w:rPr>
            </w:pPr>
          </w:p>
        </w:tc>
      </w:tr>
      <w:tr w14:paraId="3B1EE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4E207C6">
            <w:pPr>
              <w:spacing w:line="400" w:lineRule="exact"/>
              <w:jc w:val="left"/>
              <w:rPr>
                <w:rFonts w:ascii="宋体"/>
                <w:szCs w:val="21"/>
                <w:highlight w:val="none"/>
              </w:rPr>
            </w:pPr>
            <w:r>
              <w:rPr>
                <w:rFonts w:hint="eastAsia" w:ascii="宋体" w:hAnsi="宋体"/>
                <w:szCs w:val="21"/>
                <w:highlight w:val="none"/>
              </w:rPr>
              <w:t>设计阶段</w:t>
            </w:r>
          </w:p>
        </w:tc>
        <w:tc>
          <w:tcPr>
            <w:tcW w:w="2733" w:type="dxa"/>
          </w:tcPr>
          <w:p w14:paraId="1E512693">
            <w:pPr>
              <w:spacing w:line="400" w:lineRule="exact"/>
              <w:jc w:val="left"/>
              <w:rPr>
                <w:rFonts w:ascii="宋体"/>
                <w:szCs w:val="21"/>
                <w:highlight w:val="none"/>
              </w:rPr>
            </w:pPr>
          </w:p>
        </w:tc>
        <w:tc>
          <w:tcPr>
            <w:tcW w:w="2767" w:type="dxa"/>
          </w:tcPr>
          <w:p w14:paraId="2A41A1C2">
            <w:pPr>
              <w:spacing w:line="400" w:lineRule="exact"/>
              <w:jc w:val="left"/>
              <w:rPr>
                <w:rFonts w:ascii="宋体"/>
                <w:szCs w:val="21"/>
                <w:highlight w:val="none"/>
              </w:rPr>
            </w:pPr>
          </w:p>
        </w:tc>
        <w:tc>
          <w:tcPr>
            <w:tcW w:w="2081" w:type="dxa"/>
          </w:tcPr>
          <w:p w14:paraId="32E7467A">
            <w:pPr>
              <w:spacing w:line="400" w:lineRule="exact"/>
              <w:jc w:val="left"/>
              <w:rPr>
                <w:rFonts w:ascii="宋体"/>
                <w:szCs w:val="21"/>
                <w:highlight w:val="none"/>
              </w:rPr>
            </w:pPr>
          </w:p>
        </w:tc>
        <w:tc>
          <w:tcPr>
            <w:tcW w:w="1732" w:type="dxa"/>
          </w:tcPr>
          <w:p w14:paraId="6D87763B">
            <w:pPr>
              <w:spacing w:line="400" w:lineRule="exact"/>
              <w:jc w:val="left"/>
              <w:rPr>
                <w:rFonts w:ascii="宋体"/>
                <w:szCs w:val="21"/>
                <w:highlight w:val="none"/>
              </w:rPr>
            </w:pPr>
          </w:p>
        </w:tc>
        <w:tc>
          <w:tcPr>
            <w:tcW w:w="2098" w:type="dxa"/>
          </w:tcPr>
          <w:p w14:paraId="00CFB351">
            <w:pPr>
              <w:spacing w:line="400" w:lineRule="exact"/>
              <w:jc w:val="left"/>
              <w:rPr>
                <w:rFonts w:ascii="宋体"/>
                <w:szCs w:val="21"/>
                <w:highlight w:val="none"/>
              </w:rPr>
            </w:pPr>
          </w:p>
        </w:tc>
      </w:tr>
      <w:tr w14:paraId="6676B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B19AE3F">
            <w:pPr>
              <w:spacing w:line="400" w:lineRule="exact"/>
              <w:jc w:val="left"/>
              <w:rPr>
                <w:rFonts w:ascii="宋体"/>
                <w:szCs w:val="21"/>
                <w:highlight w:val="none"/>
              </w:rPr>
            </w:pPr>
          </w:p>
        </w:tc>
        <w:tc>
          <w:tcPr>
            <w:tcW w:w="2733" w:type="dxa"/>
          </w:tcPr>
          <w:p w14:paraId="133E74F7">
            <w:pPr>
              <w:spacing w:line="400" w:lineRule="exact"/>
              <w:jc w:val="left"/>
              <w:rPr>
                <w:rFonts w:ascii="宋体"/>
                <w:szCs w:val="21"/>
                <w:highlight w:val="none"/>
              </w:rPr>
            </w:pPr>
          </w:p>
        </w:tc>
        <w:tc>
          <w:tcPr>
            <w:tcW w:w="2767" w:type="dxa"/>
          </w:tcPr>
          <w:p w14:paraId="5E19E58B">
            <w:pPr>
              <w:spacing w:line="400" w:lineRule="exact"/>
              <w:jc w:val="left"/>
              <w:rPr>
                <w:rFonts w:ascii="宋体"/>
                <w:szCs w:val="21"/>
                <w:highlight w:val="none"/>
              </w:rPr>
            </w:pPr>
          </w:p>
        </w:tc>
        <w:tc>
          <w:tcPr>
            <w:tcW w:w="2081" w:type="dxa"/>
          </w:tcPr>
          <w:p w14:paraId="22880015">
            <w:pPr>
              <w:spacing w:line="400" w:lineRule="exact"/>
              <w:jc w:val="left"/>
              <w:rPr>
                <w:rFonts w:ascii="宋体"/>
                <w:szCs w:val="21"/>
                <w:highlight w:val="none"/>
              </w:rPr>
            </w:pPr>
          </w:p>
        </w:tc>
        <w:tc>
          <w:tcPr>
            <w:tcW w:w="1732" w:type="dxa"/>
          </w:tcPr>
          <w:p w14:paraId="5677DF66">
            <w:pPr>
              <w:spacing w:line="400" w:lineRule="exact"/>
              <w:jc w:val="left"/>
              <w:rPr>
                <w:rFonts w:ascii="宋体"/>
                <w:szCs w:val="21"/>
                <w:highlight w:val="none"/>
              </w:rPr>
            </w:pPr>
          </w:p>
        </w:tc>
        <w:tc>
          <w:tcPr>
            <w:tcW w:w="2098" w:type="dxa"/>
          </w:tcPr>
          <w:p w14:paraId="4FC2279E">
            <w:pPr>
              <w:spacing w:line="400" w:lineRule="exact"/>
              <w:jc w:val="left"/>
              <w:rPr>
                <w:rFonts w:ascii="宋体"/>
                <w:szCs w:val="21"/>
                <w:highlight w:val="none"/>
              </w:rPr>
            </w:pPr>
          </w:p>
        </w:tc>
      </w:tr>
      <w:tr w14:paraId="05B44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26CE228">
            <w:pPr>
              <w:spacing w:line="400" w:lineRule="exact"/>
              <w:jc w:val="left"/>
              <w:rPr>
                <w:rFonts w:ascii="宋体"/>
                <w:szCs w:val="21"/>
                <w:highlight w:val="none"/>
              </w:rPr>
            </w:pPr>
          </w:p>
        </w:tc>
        <w:tc>
          <w:tcPr>
            <w:tcW w:w="2733" w:type="dxa"/>
          </w:tcPr>
          <w:p w14:paraId="562D15BC">
            <w:pPr>
              <w:spacing w:line="400" w:lineRule="exact"/>
              <w:jc w:val="left"/>
              <w:rPr>
                <w:rFonts w:ascii="宋体"/>
                <w:szCs w:val="21"/>
                <w:highlight w:val="none"/>
              </w:rPr>
            </w:pPr>
          </w:p>
        </w:tc>
        <w:tc>
          <w:tcPr>
            <w:tcW w:w="2767" w:type="dxa"/>
          </w:tcPr>
          <w:p w14:paraId="1AA7BB38">
            <w:pPr>
              <w:spacing w:line="400" w:lineRule="exact"/>
              <w:jc w:val="left"/>
              <w:rPr>
                <w:rFonts w:ascii="宋体"/>
                <w:szCs w:val="21"/>
                <w:highlight w:val="none"/>
              </w:rPr>
            </w:pPr>
          </w:p>
        </w:tc>
        <w:tc>
          <w:tcPr>
            <w:tcW w:w="2081" w:type="dxa"/>
          </w:tcPr>
          <w:p w14:paraId="2FC618BB">
            <w:pPr>
              <w:spacing w:line="400" w:lineRule="exact"/>
              <w:jc w:val="left"/>
              <w:rPr>
                <w:rFonts w:ascii="宋体"/>
                <w:szCs w:val="21"/>
                <w:highlight w:val="none"/>
              </w:rPr>
            </w:pPr>
          </w:p>
        </w:tc>
        <w:tc>
          <w:tcPr>
            <w:tcW w:w="1732" w:type="dxa"/>
          </w:tcPr>
          <w:p w14:paraId="5DAF790D">
            <w:pPr>
              <w:spacing w:line="400" w:lineRule="exact"/>
              <w:jc w:val="left"/>
              <w:rPr>
                <w:rFonts w:ascii="宋体"/>
                <w:szCs w:val="21"/>
                <w:highlight w:val="none"/>
              </w:rPr>
            </w:pPr>
          </w:p>
        </w:tc>
        <w:tc>
          <w:tcPr>
            <w:tcW w:w="2098" w:type="dxa"/>
          </w:tcPr>
          <w:p w14:paraId="2FC3CDA0">
            <w:pPr>
              <w:spacing w:line="400" w:lineRule="exact"/>
              <w:jc w:val="left"/>
              <w:rPr>
                <w:rFonts w:ascii="宋体"/>
                <w:szCs w:val="21"/>
                <w:highlight w:val="none"/>
              </w:rPr>
            </w:pPr>
          </w:p>
        </w:tc>
      </w:tr>
      <w:tr w14:paraId="3799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1276F55">
            <w:pPr>
              <w:spacing w:line="400" w:lineRule="exact"/>
              <w:jc w:val="left"/>
              <w:rPr>
                <w:rFonts w:ascii="宋体"/>
                <w:szCs w:val="21"/>
                <w:highlight w:val="none"/>
              </w:rPr>
            </w:pPr>
            <w:r>
              <w:rPr>
                <w:rFonts w:hint="eastAsia" w:ascii="宋体" w:hAnsi="宋体"/>
                <w:szCs w:val="21"/>
                <w:highlight w:val="none"/>
              </w:rPr>
              <w:t>发承包阶段</w:t>
            </w:r>
          </w:p>
        </w:tc>
        <w:tc>
          <w:tcPr>
            <w:tcW w:w="2733" w:type="dxa"/>
          </w:tcPr>
          <w:p w14:paraId="10E6F410">
            <w:pPr>
              <w:spacing w:line="400" w:lineRule="exact"/>
              <w:jc w:val="left"/>
              <w:rPr>
                <w:rFonts w:ascii="宋体"/>
                <w:szCs w:val="21"/>
                <w:highlight w:val="none"/>
              </w:rPr>
            </w:pPr>
          </w:p>
        </w:tc>
        <w:tc>
          <w:tcPr>
            <w:tcW w:w="2767" w:type="dxa"/>
          </w:tcPr>
          <w:p w14:paraId="072DB7BF">
            <w:pPr>
              <w:spacing w:line="400" w:lineRule="exact"/>
              <w:jc w:val="left"/>
              <w:rPr>
                <w:rFonts w:ascii="宋体"/>
                <w:szCs w:val="21"/>
                <w:highlight w:val="none"/>
              </w:rPr>
            </w:pPr>
          </w:p>
        </w:tc>
        <w:tc>
          <w:tcPr>
            <w:tcW w:w="2081" w:type="dxa"/>
          </w:tcPr>
          <w:p w14:paraId="7FEEDB1F">
            <w:pPr>
              <w:spacing w:line="400" w:lineRule="exact"/>
              <w:jc w:val="left"/>
              <w:rPr>
                <w:rFonts w:ascii="宋体"/>
                <w:szCs w:val="21"/>
                <w:highlight w:val="none"/>
              </w:rPr>
            </w:pPr>
          </w:p>
        </w:tc>
        <w:tc>
          <w:tcPr>
            <w:tcW w:w="1732" w:type="dxa"/>
          </w:tcPr>
          <w:p w14:paraId="09593212">
            <w:pPr>
              <w:spacing w:line="400" w:lineRule="exact"/>
              <w:jc w:val="left"/>
              <w:rPr>
                <w:rFonts w:ascii="宋体"/>
                <w:szCs w:val="21"/>
                <w:highlight w:val="none"/>
              </w:rPr>
            </w:pPr>
          </w:p>
        </w:tc>
        <w:tc>
          <w:tcPr>
            <w:tcW w:w="2098" w:type="dxa"/>
          </w:tcPr>
          <w:p w14:paraId="3DE28F1E">
            <w:pPr>
              <w:spacing w:line="400" w:lineRule="exact"/>
              <w:jc w:val="left"/>
              <w:rPr>
                <w:rFonts w:ascii="宋体"/>
                <w:szCs w:val="21"/>
                <w:highlight w:val="none"/>
              </w:rPr>
            </w:pPr>
          </w:p>
        </w:tc>
      </w:tr>
      <w:tr w14:paraId="6C13F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0CB99D54">
            <w:pPr>
              <w:spacing w:line="400" w:lineRule="exact"/>
              <w:jc w:val="left"/>
              <w:rPr>
                <w:rFonts w:ascii="宋体"/>
                <w:szCs w:val="21"/>
                <w:highlight w:val="none"/>
              </w:rPr>
            </w:pPr>
          </w:p>
        </w:tc>
        <w:tc>
          <w:tcPr>
            <w:tcW w:w="2733" w:type="dxa"/>
          </w:tcPr>
          <w:p w14:paraId="47D5693F">
            <w:pPr>
              <w:spacing w:line="400" w:lineRule="exact"/>
              <w:jc w:val="left"/>
              <w:rPr>
                <w:rFonts w:ascii="宋体"/>
                <w:szCs w:val="21"/>
                <w:highlight w:val="none"/>
              </w:rPr>
            </w:pPr>
          </w:p>
        </w:tc>
        <w:tc>
          <w:tcPr>
            <w:tcW w:w="2767" w:type="dxa"/>
          </w:tcPr>
          <w:p w14:paraId="61336589">
            <w:pPr>
              <w:spacing w:line="400" w:lineRule="exact"/>
              <w:jc w:val="left"/>
              <w:rPr>
                <w:rFonts w:ascii="宋体"/>
                <w:szCs w:val="21"/>
                <w:highlight w:val="none"/>
              </w:rPr>
            </w:pPr>
          </w:p>
        </w:tc>
        <w:tc>
          <w:tcPr>
            <w:tcW w:w="2081" w:type="dxa"/>
          </w:tcPr>
          <w:p w14:paraId="0BCB15D5">
            <w:pPr>
              <w:spacing w:line="400" w:lineRule="exact"/>
              <w:jc w:val="left"/>
              <w:rPr>
                <w:rFonts w:ascii="宋体"/>
                <w:szCs w:val="21"/>
                <w:highlight w:val="none"/>
              </w:rPr>
            </w:pPr>
          </w:p>
        </w:tc>
        <w:tc>
          <w:tcPr>
            <w:tcW w:w="1732" w:type="dxa"/>
          </w:tcPr>
          <w:p w14:paraId="091156C9">
            <w:pPr>
              <w:spacing w:line="400" w:lineRule="exact"/>
              <w:jc w:val="left"/>
              <w:rPr>
                <w:rFonts w:ascii="宋体"/>
                <w:szCs w:val="21"/>
                <w:highlight w:val="none"/>
              </w:rPr>
            </w:pPr>
          </w:p>
        </w:tc>
        <w:tc>
          <w:tcPr>
            <w:tcW w:w="2098" w:type="dxa"/>
          </w:tcPr>
          <w:p w14:paraId="793B1EA7">
            <w:pPr>
              <w:spacing w:line="400" w:lineRule="exact"/>
              <w:jc w:val="left"/>
              <w:rPr>
                <w:rFonts w:ascii="宋体"/>
                <w:szCs w:val="21"/>
                <w:highlight w:val="none"/>
              </w:rPr>
            </w:pPr>
          </w:p>
        </w:tc>
      </w:tr>
      <w:tr w14:paraId="5F52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541F70FF">
            <w:pPr>
              <w:spacing w:line="400" w:lineRule="exact"/>
              <w:jc w:val="left"/>
              <w:rPr>
                <w:rFonts w:ascii="宋体"/>
                <w:szCs w:val="21"/>
                <w:highlight w:val="none"/>
              </w:rPr>
            </w:pPr>
          </w:p>
        </w:tc>
        <w:tc>
          <w:tcPr>
            <w:tcW w:w="2733" w:type="dxa"/>
          </w:tcPr>
          <w:p w14:paraId="553EDC59">
            <w:pPr>
              <w:spacing w:line="400" w:lineRule="exact"/>
              <w:jc w:val="left"/>
              <w:rPr>
                <w:rFonts w:ascii="宋体"/>
                <w:szCs w:val="21"/>
                <w:highlight w:val="none"/>
              </w:rPr>
            </w:pPr>
          </w:p>
        </w:tc>
        <w:tc>
          <w:tcPr>
            <w:tcW w:w="2767" w:type="dxa"/>
          </w:tcPr>
          <w:p w14:paraId="679829E1">
            <w:pPr>
              <w:spacing w:line="400" w:lineRule="exact"/>
              <w:jc w:val="left"/>
              <w:rPr>
                <w:rFonts w:ascii="宋体"/>
                <w:szCs w:val="21"/>
                <w:highlight w:val="none"/>
              </w:rPr>
            </w:pPr>
          </w:p>
        </w:tc>
        <w:tc>
          <w:tcPr>
            <w:tcW w:w="2081" w:type="dxa"/>
          </w:tcPr>
          <w:p w14:paraId="538B9DFD">
            <w:pPr>
              <w:spacing w:line="400" w:lineRule="exact"/>
              <w:jc w:val="left"/>
              <w:rPr>
                <w:rFonts w:ascii="宋体"/>
                <w:szCs w:val="21"/>
                <w:highlight w:val="none"/>
              </w:rPr>
            </w:pPr>
          </w:p>
        </w:tc>
        <w:tc>
          <w:tcPr>
            <w:tcW w:w="1732" w:type="dxa"/>
          </w:tcPr>
          <w:p w14:paraId="2E38D96A">
            <w:pPr>
              <w:spacing w:line="400" w:lineRule="exact"/>
              <w:jc w:val="left"/>
              <w:rPr>
                <w:rFonts w:ascii="宋体"/>
                <w:szCs w:val="21"/>
                <w:highlight w:val="none"/>
              </w:rPr>
            </w:pPr>
          </w:p>
        </w:tc>
        <w:tc>
          <w:tcPr>
            <w:tcW w:w="2098" w:type="dxa"/>
          </w:tcPr>
          <w:p w14:paraId="55F97D91">
            <w:pPr>
              <w:spacing w:line="400" w:lineRule="exact"/>
              <w:jc w:val="left"/>
              <w:rPr>
                <w:rFonts w:ascii="宋体"/>
                <w:szCs w:val="21"/>
                <w:highlight w:val="none"/>
              </w:rPr>
            </w:pPr>
          </w:p>
        </w:tc>
      </w:tr>
      <w:tr w14:paraId="41C9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0CE02D9F">
            <w:pPr>
              <w:spacing w:line="400" w:lineRule="exact"/>
              <w:jc w:val="left"/>
              <w:rPr>
                <w:rFonts w:ascii="宋体"/>
                <w:szCs w:val="21"/>
                <w:highlight w:val="none"/>
              </w:rPr>
            </w:pPr>
            <w:r>
              <w:rPr>
                <w:rFonts w:hint="eastAsia" w:ascii="宋体" w:hAnsi="宋体"/>
                <w:szCs w:val="21"/>
                <w:highlight w:val="none"/>
              </w:rPr>
              <w:t>实施阶段</w:t>
            </w:r>
          </w:p>
        </w:tc>
        <w:tc>
          <w:tcPr>
            <w:tcW w:w="2733" w:type="dxa"/>
          </w:tcPr>
          <w:p w14:paraId="0F42E4D0">
            <w:pPr>
              <w:spacing w:line="400" w:lineRule="exact"/>
              <w:jc w:val="left"/>
              <w:rPr>
                <w:rFonts w:ascii="宋体"/>
                <w:szCs w:val="21"/>
                <w:highlight w:val="none"/>
              </w:rPr>
            </w:pPr>
          </w:p>
        </w:tc>
        <w:tc>
          <w:tcPr>
            <w:tcW w:w="2767" w:type="dxa"/>
          </w:tcPr>
          <w:p w14:paraId="1450ADF2">
            <w:pPr>
              <w:spacing w:line="400" w:lineRule="exact"/>
              <w:jc w:val="left"/>
              <w:rPr>
                <w:rFonts w:ascii="宋体"/>
                <w:szCs w:val="21"/>
                <w:highlight w:val="none"/>
              </w:rPr>
            </w:pPr>
          </w:p>
        </w:tc>
        <w:tc>
          <w:tcPr>
            <w:tcW w:w="2081" w:type="dxa"/>
          </w:tcPr>
          <w:p w14:paraId="762DE119">
            <w:pPr>
              <w:spacing w:line="400" w:lineRule="exact"/>
              <w:jc w:val="left"/>
              <w:rPr>
                <w:rFonts w:ascii="宋体"/>
                <w:szCs w:val="21"/>
                <w:highlight w:val="none"/>
              </w:rPr>
            </w:pPr>
          </w:p>
        </w:tc>
        <w:tc>
          <w:tcPr>
            <w:tcW w:w="1732" w:type="dxa"/>
          </w:tcPr>
          <w:p w14:paraId="59216129">
            <w:pPr>
              <w:spacing w:line="400" w:lineRule="exact"/>
              <w:jc w:val="left"/>
              <w:rPr>
                <w:rFonts w:ascii="宋体"/>
                <w:szCs w:val="21"/>
                <w:highlight w:val="none"/>
              </w:rPr>
            </w:pPr>
          </w:p>
        </w:tc>
        <w:tc>
          <w:tcPr>
            <w:tcW w:w="2098" w:type="dxa"/>
          </w:tcPr>
          <w:p w14:paraId="70993D14">
            <w:pPr>
              <w:spacing w:line="400" w:lineRule="exact"/>
              <w:jc w:val="left"/>
              <w:rPr>
                <w:rFonts w:ascii="宋体"/>
                <w:szCs w:val="21"/>
                <w:highlight w:val="none"/>
              </w:rPr>
            </w:pPr>
          </w:p>
        </w:tc>
      </w:tr>
      <w:tr w14:paraId="47B41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5D75B183">
            <w:pPr>
              <w:spacing w:line="400" w:lineRule="exact"/>
              <w:jc w:val="left"/>
              <w:rPr>
                <w:rFonts w:ascii="宋体"/>
                <w:szCs w:val="21"/>
                <w:highlight w:val="none"/>
              </w:rPr>
            </w:pPr>
          </w:p>
        </w:tc>
        <w:tc>
          <w:tcPr>
            <w:tcW w:w="2733" w:type="dxa"/>
          </w:tcPr>
          <w:p w14:paraId="0727E9ED">
            <w:pPr>
              <w:spacing w:line="400" w:lineRule="exact"/>
              <w:jc w:val="left"/>
              <w:rPr>
                <w:rFonts w:ascii="宋体"/>
                <w:szCs w:val="21"/>
                <w:highlight w:val="none"/>
              </w:rPr>
            </w:pPr>
          </w:p>
        </w:tc>
        <w:tc>
          <w:tcPr>
            <w:tcW w:w="2767" w:type="dxa"/>
          </w:tcPr>
          <w:p w14:paraId="2145DBD4">
            <w:pPr>
              <w:spacing w:line="400" w:lineRule="exact"/>
              <w:jc w:val="left"/>
              <w:rPr>
                <w:rFonts w:ascii="宋体"/>
                <w:szCs w:val="21"/>
                <w:highlight w:val="none"/>
              </w:rPr>
            </w:pPr>
          </w:p>
        </w:tc>
        <w:tc>
          <w:tcPr>
            <w:tcW w:w="2081" w:type="dxa"/>
          </w:tcPr>
          <w:p w14:paraId="100F065F">
            <w:pPr>
              <w:spacing w:line="400" w:lineRule="exact"/>
              <w:jc w:val="left"/>
              <w:rPr>
                <w:rFonts w:ascii="宋体"/>
                <w:szCs w:val="21"/>
                <w:highlight w:val="none"/>
              </w:rPr>
            </w:pPr>
          </w:p>
        </w:tc>
        <w:tc>
          <w:tcPr>
            <w:tcW w:w="1732" w:type="dxa"/>
          </w:tcPr>
          <w:p w14:paraId="2B742063">
            <w:pPr>
              <w:spacing w:line="400" w:lineRule="exact"/>
              <w:jc w:val="left"/>
              <w:rPr>
                <w:rFonts w:ascii="宋体"/>
                <w:szCs w:val="21"/>
                <w:highlight w:val="none"/>
              </w:rPr>
            </w:pPr>
          </w:p>
        </w:tc>
        <w:tc>
          <w:tcPr>
            <w:tcW w:w="2098" w:type="dxa"/>
          </w:tcPr>
          <w:p w14:paraId="210B4072">
            <w:pPr>
              <w:spacing w:line="400" w:lineRule="exact"/>
              <w:jc w:val="left"/>
              <w:rPr>
                <w:rFonts w:ascii="宋体"/>
                <w:szCs w:val="21"/>
                <w:highlight w:val="none"/>
              </w:rPr>
            </w:pPr>
          </w:p>
        </w:tc>
      </w:tr>
      <w:tr w14:paraId="6FB7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63F08007">
            <w:pPr>
              <w:spacing w:line="400" w:lineRule="exact"/>
              <w:jc w:val="left"/>
              <w:rPr>
                <w:rFonts w:ascii="宋体"/>
                <w:szCs w:val="21"/>
                <w:highlight w:val="none"/>
              </w:rPr>
            </w:pPr>
          </w:p>
        </w:tc>
        <w:tc>
          <w:tcPr>
            <w:tcW w:w="2733" w:type="dxa"/>
          </w:tcPr>
          <w:p w14:paraId="1C6C810F">
            <w:pPr>
              <w:spacing w:line="400" w:lineRule="exact"/>
              <w:jc w:val="left"/>
              <w:rPr>
                <w:rFonts w:ascii="宋体"/>
                <w:szCs w:val="21"/>
                <w:highlight w:val="none"/>
              </w:rPr>
            </w:pPr>
          </w:p>
        </w:tc>
        <w:tc>
          <w:tcPr>
            <w:tcW w:w="2767" w:type="dxa"/>
          </w:tcPr>
          <w:p w14:paraId="099FE13D">
            <w:pPr>
              <w:spacing w:line="400" w:lineRule="exact"/>
              <w:jc w:val="left"/>
              <w:rPr>
                <w:rFonts w:ascii="宋体"/>
                <w:szCs w:val="21"/>
                <w:highlight w:val="none"/>
              </w:rPr>
            </w:pPr>
          </w:p>
        </w:tc>
        <w:tc>
          <w:tcPr>
            <w:tcW w:w="2081" w:type="dxa"/>
          </w:tcPr>
          <w:p w14:paraId="55908AE5">
            <w:pPr>
              <w:spacing w:line="400" w:lineRule="exact"/>
              <w:jc w:val="left"/>
              <w:rPr>
                <w:rFonts w:ascii="宋体"/>
                <w:szCs w:val="21"/>
                <w:highlight w:val="none"/>
              </w:rPr>
            </w:pPr>
          </w:p>
        </w:tc>
        <w:tc>
          <w:tcPr>
            <w:tcW w:w="1732" w:type="dxa"/>
          </w:tcPr>
          <w:p w14:paraId="252D53B3">
            <w:pPr>
              <w:spacing w:line="400" w:lineRule="exact"/>
              <w:jc w:val="left"/>
              <w:rPr>
                <w:rFonts w:ascii="宋体"/>
                <w:szCs w:val="21"/>
                <w:highlight w:val="none"/>
              </w:rPr>
            </w:pPr>
          </w:p>
        </w:tc>
        <w:tc>
          <w:tcPr>
            <w:tcW w:w="2098" w:type="dxa"/>
          </w:tcPr>
          <w:p w14:paraId="56F0D211">
            <w:pPr>
              <w:spacing w:line="400" w:lineRule="exact"/>
              <w:jc w:val="left"/>
              <w:rPr>
                <w:rFonts w:ascii="宋体"/>
                <w:szCs w:val="21"/>
                <w:highlight w:val="none"/>
              </w:rPr>
            </w:pPr>
          </w:p>
        </w:tc>
      </w:tr>
      <w:tr w14:paraId="5EC2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75DDECD">
            <w:pPr>
              <w:spacing w:line="400" w:lineRule="exact"/>
              <w:jc w:val="left"/>
              <w:rPr>
                <w:rFonts w:ascii="宋体"/>
                <w:szCs w:val="21"/>
                <w:highlight w:val="none"/>
              </w:rPr>
            </w:pPr>
            <w:r>
              <w:rPr>
                <w:rFonts w:hint="eastAsia" w:ascii="宋体" w:hAnsi="宋体"/>
                <w:szCs w:val="21"/>
                <w:highlight w:val="none"/>
              </w:rPr>
              <w:t>竣工阶段</w:t>
            </w:r>
          </w:p>
        </w:tc>
        <w:tc>
          <w:tcPr>
            <w:tcW w:w="2733" w:type="dxa"/>
          </w:tcPr>
          <w:p w14:paraId="67394A24">
            <w:pPr>
              <w:spacing w:line="400" w:lineRule="exact"/>
              <w:jc w:val="left"/>
              <w:rPr>
                <w:rFonts w:ascii="宋体"/>
                <w:szCs w:val="21"/>
                <w:highlight w:val="none"/>
              </w:rPr>
            </w:pPr>
          </w:p>
        </w:tc>
        <w:tc>
          <w:tcPr>
            <w:tcW w:w="2767" w:type="dxa"/>
          </w:tcPr>
          <w:p w14:paraId="1BDE4808">
            <w:pPr>
              <w:spacing w:line="400" w:lineRule="exact"/>
              <w:jc w:val="left"/>
              <w:rPr>
                <w:rFonts w:ascii="宋体"/>
                <w:szCs w:val="21"/>
                <w:highlight w:val="none"/>
              </w:rPr>
            </w:pPr>
          </w:p>
        </w:tc>
        <w:tc>
          <w:tcPr>
            <w:tcW w:w="2081" w:type="dxa"/>
          </w:tcPr>
          <w:p w14:paraId="397E2589">
            <w:pPr>
              <w:spacing w:line="400" w:lineRule="exact"/>
              <w:jc w:val="left"/>
              <w:rPr>
                <w:rFonts w:ascii="宋体"/>
                <w:szCs w:val="21"/>
                <w:highlight w:val="none"/>
              </w:rPr>
            </w:pPr>
          </w:p>
        </w:tc>
        <w:tc>
          <w:tcPr>
            <w:tcW w:w="1732" w:type="dxa"/>
          </w:tcPr>
          <w:p w14:paraId="3772CF50">
            <w:pPr>
              <w:spacing w:line="400" w:lineRule="exact"/>
              <w:jc w:val="left"/>
              <w:rPr>
                <w:rFonts w:ascii="宋体"/>
                <w:szCs w:val="21"/>
                <w:highlight w:val="none"/>
              </w:rPr>
            </w:pPr>
          </w:p>
        </w:tc>
        <w:tc>
          <w:tcPr>
            <w:tcW w:w="2098" w:type="dxa"/>
          </w:tcPr>
          <w:p w14:paraId="4A880209">
            <w:pPr>
              <w:spacing w:line="400" w:lineRule="exact"/>
              <w:jc w:val="left"/>
              <w:rPr>
                <w:rFonts w:ascii="宋体"/>
                <w:szCs w:val="21"/>
                <w:highlight w:val="none"/>
              </w:rPr>
            </w:pPr>
          </w:p>
        </w:tc>
      </w:tr>
      <w:tr w14:paraId="08CC5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56B6FB9">
            <w:pPr>
              <w:spacing w:line="400" w:lineRule="exact"/>
              <w:jc w:val="left"/>
              <w:rPr>
                <w:rFonts w:ascii="宋体"/>
                <w:szCs w:val="21"/>
                <w:highlight w:val="none"/>
              </w:rPr>
            </w:pPr>
          </w:p>
        </w:tc>
        <w:tc>
          <w:tcPr>
            <w:tcW w:w="2733" w:type="dxa"/>
          </w:tcPr>
          <w:p w14:paraId="35A9FFD3">
            <w:pPr>
              <w:spacing w:line="400" w:lineRule="exact"/>
              <w:jc w:val="left"/>
              <w:rPr>
                <w:rFonts w:ascii="宋体"/>
                <w:szCs w:val="21"/>
                <w:highlight w:val="none"/>
              </w:rPr>
            </w:pPr>
          </w:p>
        </w:tc>
        <w:tc>
          <w:tcPr>
            <w:tcW w:w="2767" w:type="dxa"/>
          </w:tcPr>
          <w:p w14:paraId="55C7FF9E">
            <w:pPr>
              <w:spacing w:line="400" w:lineRule="exact"/>
              <w:jc w:val="left"/>
              <w:rPr>
                <w:rFonts w:ascii="宋体"/>
                <w:szCs w:val="21"/>
                <w:highlight w:val="none"/>
              </w:rPr>
            </w:pPr>
          </w:p>
        </w:tc>
        <w:tc>
          <w:tcPr>
            <w:tcW w:w="2081" w:type="dxa"/>
          </w:tcPr>
          <w:p w14:paraId="74A6328D">
            <w:pPr>
              <w:spacing w:line="400" w:lineRule="exact"/>
              <w:jc w:val="left"/>
              <w:rPr>
                <w:rFonts w:ascii="宋体"/>
                <w:szCs w:val="21"/>
                <w:highlight w:val="none"/>
              </w:rPr>
            </w:pPr>
          </w:p>
        </w:tc>
        <w:tc>
          <w:tcPr>
            <w:tcW w:w="1732" w:type="dxa"/>
          </w:tcPr>
          <w:p w14:paraId="26EE497B">
            <w:pPr>
              <w:spacing w:line="400" w:lineRule="exact"/>
              <w:jc w:val="left"/>
              <w:rPr>
                <w:rFonts w:ascii="宋体"/>
                <w:szCs w:val="21"/>
                <w:highlight w:val="none"/>
              </w:rPr>
            </w:pPr>
          </w:p>
        </w:tc>
        <w:tc>
          <w:tcPr>
            <w:tcW w:w="2098" w:type="dxa"/>
          </w:tcPr>
          <w:p w14:paraId="1E85A9B6">
            <w:pPr>
              <w:spacing w:line="400" w:lineRule="exact"/>
              <w:jc w:val="left"/>
              <w:rPr>
                <w:rFonts w:ascii="宋体"/>
                <w:szCs w:val="21"/>
                <w:highlight w:val="none"/>
              </w:rPr>
            </w:pPr>
          </w:p>
        </w:tc>
      </w:tr>
      <w:tr w14:paraId="3907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31F215A">
            <w:pPr>
              <w:spacing w:line="400" w:lineRule="exact"/>
              <w:jc w:val="left"/>
              <w:rPr>
                <w:rFonts w:ascii="宋体"/>
                <w:szCs w:val="21"/>
                <w:highlight w:val="none"/>
              </w:rPr>
            </w:pPr>
          </w:p>
        </w:tc>
        <w:tc>
          <w:tcPr>
            <w:tcW w:w="2733" w:type="dxa"/>
          </w:tcPr>
          <w:p w14:paraId="7C4F2E4B">
            <w:pPr>
              <w:spacing w:line="400" w:lineRule="exact"/>
              <w:jc w:val="left"/>
              <w:rPr>
                <w:rFonts w:ascii="宋体"/>
                <w:szCs w:val="21"/>
                <w:highlight w:val="none"/>
              </w:rPr>
            </w:pPr>
          </w:p>
        </w:tc>
        <w:tc>
          <w:tcPr>
            <w:tcW w:w="2767" w:type="dxa"/>
          </w:tcPr>
          <w:p w14:paraId="04AFE0B8">
            <w:pPr>
              <w:spacing w:line="400" w:lineRule="exact"/>
              <w:jc w:val="left"/>
              <w:rPr>
                <w:rFonts w:ascii="宋体"/>
                <w:szCs w:val="21"/>
                <w:highlight w:val="none"/>
              </w:rPr>
            </w:pPr>
          </w:p>
        </w:tc>
        <w:tc>
          <w:tcPr>
            <w:tcW w:w="2081" w:type="dxa"/>
          </w:tcPr>
          <w:p w14:paraId="6A4CB4DA">
            <w:pPr>
              <w:spacing w:line="400" w:lineRule="exact"/>
              <w:jc w:val="left"/>
              <w:rPr>
                <w:rFonts w:ascii="宋体"/>
                <w:szCs w:val="21"/>
                <w:highlight w:val="none"/>
              </w:rPr>
            </w:pPr>
          </w:p>
        </w:tc>
        <w:tc>
          <w:tcPr>
            <w:tcW w:w="1732" w:type="dxa"/>
          </w:tcPr>
          <w:p w14:paraId="1BC31060">
            <w:pPr>
              <w:spacing w:line="400" w:lineRule="exact"/>
              <w:jc w:val="left"/>
              <w:rPr>
                <w:rFonts w:ascii="宋体"/>
                <w:szCs w:val="21"/>
                <w:highlight w:val="none"/>
              </w:rPr>
            </w:pPr>
          </w:p>
        </w:tc>
        <w:tc>
          <w:tcPr>
            <w:tcW w:w="2098" w:type="dxa"/>
          </w:tcPr>
          <w:p w14:paraId="2557EC0C">
            <w:pPr>
              <w:spacing w:line="400" w:lineRule="exact"/>
              <w:jc w:val="left"/>
              <w:rPr>
                <w:rFonts w:ascii="宋体"/>
                <w:szCs w:val="21"/>
                <w:highlight w:val="none"/>
              </w:rPr>
            </w:pPr>
          </w:p>
        </w:tc>
      </w:tr>
      <w:tr w14:paraId="4B8CC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tcPr>
          <w:p w14:paraId="68F64B3A">
            <w:pPr>
              <w:spacing w:line="400" w:lineRule="exact"/>
              <w:jc w:val="left"/>
              <w:rPr>
                <w:rFonts w:ascii="宋体"/>
                <w:szCs w:val="21"/>
                <w:highlight w:val="none"/>
              </w:rPr>
            </w:pPr>
            <w:r>
              <w:rPr>
                <w:rFonts w:hint="eastAsia" w:ascii="宋体" w:hAnsi="宋体"/>
                <w:szCs w:val="21"/>
                <w:highlight w:val="none"/>
              </w:rPr>
              <w:t>其他服务</w:t>
            </w:r>
          </w:p>
        </w:tc>
        <w:tc>
          <w:tcPr>
            <w:tcW w:w="2733" w:type="dxa"/>
          </w:tcPr>
          <w:p w14:paraId="4BB0DAC5">
            <w:pPr>
              <w:spacing w:line="400" w:lineRule="exact"/>
              <w:jc w:val="left"/>
              <w:rPr>
                <w:rFonts w:ascii="宋体"/>
                <w:szCs w:val="21"/>
                <w:highlight w:val="none"/>
              </w:rPr>
            </w:pPr>
          </w:p>
        </w:tc>
        <w:tc>
          <w:tcPr>
            <w:tcW w:w="2767" w:type="dxa"/>
          </w:tcPr>
          <w:p w14:paraId="5AC58437">
            <w:pPr>
              <w:spacing w:line="400" w:lineRule="exact"/>
              <w:jc w:val="left"/>
              <w:rPr>
                <w:rFonts w:ascii="宋体"/>
                <w:szCs w:val="21"/>
                <w:highlight w:val="none"/>
              </w:rPr>
            </w:pPr>
          </w:p>
        </w:tc>
        <w:tc>
          <w:tcPr>
            <w:tcW w:w="2081" w:type="dxa"/>
          </w:tcPr>
          <w:p w14:paraId="666E2B36">
            <w:pPr>
              <w:spacing w:line="400" w:lineRule="exact"/>
              <w:jc w:val="left"/>
              <w:rPr>
                <w:rFonts w:ascii="宋体"/>
                <w:szCs w:val="21"/>
                <w:highlight w:val="none"/>
              </w:rPr>
            </w:pPr>
          </w:p>
        </w:tc>
        <w:tc>
          <w:tcPr>
            <w:tcW w:w="1732" w:type="dxa"/>
          </w:tcPr>
          <w:p w14:paraId="2B7CB2C6">
            <w:pPr>
              <w:spacing w:line="400" w:lineRule="exact"/>
              <w:jc w:val="left"/>
              <w:rPr>
                <w:rFonts w:ascii="宋体"/>
                <w:szCs w:val="21"/>
                <w:highlight w:val="none"/>
              </w:rPr>
            </w:pPr>
          </w:p>
        </w:tc>
        <w:tc>
          <w:tcPr>
            <w:tcW w:w="2098" w:type="dxa"/>
          </w:tcPr>
          <w:p w14:paraId="69E32EF1">
            <w:pPr>
              <w:spacing w:line="400" w:lineRule="exact"/>
              <w:jc w:val="left"/>
              <w:rPr>
                <w:rFonts w:ascii="宋体"/>
                <w:szCs w:val="21"/>
                <w:highlight w:val="none"/>
              </w:rPr>
            </w:pPr>
          </w:p>
        </w:tc>
      </w:tr>
    </w:tbl>
    <w:p w14:paraId="72F40714">
      <w:pPr>
        <w:snapToGrid w:val="0"/>
        <w:spacing w:line="360" w:lineRule="auto"/>
        <w:jc w:val="left"/>
        <w:rPr>
          <w:rFonts w:ascii="宋体"/>
          <w:b/>
          <w:szCs w:val="21"/>
          <w:highlight w:val="none"/>
        </w:rPr>
        <w:sectPr>
          <w:footerReference r:id="rId15" w:type="default"/>
          <w:footerReference r:id="rId16" w:type="even"/>
          <w:pgSz w:w="16838" w:h="11906" w:orient="landscape"/>
          <w:pgMar w:top="1474" w:right="1418" w:bottom="1418" w:left="1418" w:header="851" w:footer="992" w:gutter="0"/>
          <w:pgNumType w:fmt="numberInDash"/>
          <w:cols w:space="720" w:num="1"/>
          <w:titlePg/>
          <w:docGrid w:type="linesAndChars" w:linePitch="286" w:charSpace="0"/>
        </w:sectPr>
      </w:pPr>
    </w:p>
    <w:p w14:paraId="5C06A037">
      <w:pPr>
        <w:spacing w:line="360" w:lineRule="auto"/>
        <w:jc w:val="left"/>
        <w:outlineLvl w:val="2"/>
        <w:rPr>
          <w:rFonts w:ascii="宋体"/>
          <w:b/>
          <w:bCs/>
          <w:sz w:val="28"/>
          <w:highlight w:val="none"/>
        </w:rPr>
      </w:pPr>
      <w:r>
        <w:rPr>
          <w:rFonts w:hint="eastAsia" w:ascii="宋体" w:hAnsi="宋体"/>
          <w:b/>
          <w:bCs/>
          <w:sz w:val="28"/>
          <w:highlight w:val="none"/>
        </w:rPr>
        <w:t>技术要求</w:t>
      </w:r>
      <w:r>
        <w:rPr>
          <w:rFonts w:ascii="宋体" w:hAnsi="宋体"/>
          <w:b/>
          <w:bCs/>
          <w:sz w:val="28"/>
          <w:highlight w:val="none"/>
        </w:rPr>
        <w:t>F</w:t>
      </w:r>
      <w:r>
        <w:rPr>
          <w:rFonts w:hint="eastAsia" w:ascii="宋体" w:hAnsi="宋体"/>
          <w:b/>
          <w:bCs/>
          <w:sz w:val="28"/>
          <w:highlight w:val="none"/>
        </w:rPr>
        <w:t>：项目管理</w:t>
      </w:r>
      <w:bookmarkEnd w:id="351"/>
      <w:bookmarkEnd w:id="352"/>
    </w:p>
    <w:p w14:paraId="053D508D">
      <w:pPr>
        <w:spacing w:line="360" w:lineRule="auto"/>
        <w:ind w:firstLine="422" w:firstLineChars="200"/>
        <w:jc w:val="left"/>
        <w:outlineLvl w:val="3"/>
        <w:rPr>
          <w:rFonts w:ascii="宋体" w:cs="宋体"/>
          <w:b/>
          <w:szCs w:val="21"/>
          <w:highlight w:val="none"/>
        </w:rPr>
      </w:pPr>
      <w:bookmarkStart w:id="353" w:name="_Toc527955053"/>
      <w:bookmarkStart w:id="354" w:name="_Toc478380051"/>
      <w:bookmarkStart w:id="355" w:name="_Toc522389790"/>
      <w:bookmarkStart w:id="356" w:name="_Toc521351574"/>
      <w:bookmarkStart w:id="357" w:name="_Toc478373446"/>
      <w:bookmarkStart w:id="358" w:name="_Toc509302683"/>
      <w:r>
        <w:rPr>
          <w:rFonts w:ascii="宋体" w:hAnsi="宋体" w:cs="宋体"/>
          <w:b/>
          <w:szCs w:val="21"/>
          <w:highlight w:val="none"/>
        </w:rPr>
        <w:t xml:space="preserve">1. </w:t>
      </w:r>
      <w:r>
        <w:rPr>
          <w:rFonts w:hint="eastAsia" w:ascii="宋体" w:hAnsi="宋体" w:cs="宋体"/>
          <w:b/>
          <w:szCs w:val="21"/>
          <w:highlight w:val="none"/>
        </w:rPr>
        <w:t>受托人的义务</w:t>
      </w:r>
      <w:bookmarkEnd w:id="353"/>
      <w:bookmarkEnd w:id="354"/>
      <w:bookmarkEnd w:id="355"/>
      <w:bookmarkEnd w:id="356"/>
      <w:bookmarkEnd w:id="357"/>
      <w:bookmarkEnd w:id="358"/>
    </w:p>
    <w:p w14:paraId="1C47DA49">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1.1 </w:t>
      </w:r>
      <w:r>
        <w:rPr>
          <w:rFonts w:hint="eastAsia" w:ascii="宋体" w:hAnsi="宋体" w:cs="宋体"/>
          <w:bCs/>
          <w:szCs w:val="21"/>
          <w:highlight w:val="none"/>
        </w:rPr>
        <w:t>项目管理的范围和工作内容</w:t>
      </w:r>
    </w:p>
    <w:p w14:paraId="0B8DEAAE">
      <w:pPr>
        <w:spacing w:line="400" w:lineRule="exact"/>
        <w:ind w:firstLine="420" w:firstLineChars="200"/>
        <w:jc w:val="left"/>
        <w:rPr>
          <w:rFonts w:ascii="宋体" w:cs="宋体"/>
          <w:szCs w:val="21"/>
          <w:highlight w:val="none"/>
        </w:rPr>
      </w:pPr>
      <w:r>
        <w:rPr>
          <w:rFonts w:ascii="宋体" w:hAnsi="宋体"/>
          <w:szCs w:val="21"/>
          <w:highlight w:val="none"/>
        </w:rPr>
        <w:t xml:space="preserve">1.1.1 </w:t>
      </w:r>
      <w:r>
        <w:rPr>
          <w:rFonts w:hint="eastAsia" w:ascii="宋体" w:hAnsi="宋体" w:cs="宋体"/>
          <w:szCs w:val="21"/>
          <w:highlight w:val="none"/>
        </w:rPr>
        <w:t>项目管理工作范围：</w:t>
      </w:r>
    </w:p>
    <w:p w14:paraId="5E70C59D">
      <w:pPr>
        <w:spacing w:line="400" w:lineRule="exact"/>
        <w:ind w:firstLine="525" w:firstLineChars="250"/>
        <w:jc w:val="left"/>
        <w:rPr>
          <w:rFonts w:ascii="宋体" w:cs="宋体"/>
          <w:szCs w:val="21"/>
          <w:highlight w:val="none"/>
        </w:rPr>
      </w:pPr>
      <w:r>
        <w:rPr>
          <w:rFonts w:hint="eastAsia" w:ascii="宋体" w:hAnsi="宋体" w:cs="宋体"/>
          <w:szCs w:val="21"/>
          <w:highlight w:val="none"/>
        </w:rPr>
        <w:t>（可参考附件</w:t>
      </w:r>
      <w:r>
        <w:rPr>
          <w:rFonts w:ascii="宋体" w:hAnsi="宋体" w:cs="宋体"/>
          <w:szCs w:val="21"/>
          <w:highlight w:val="none"/>
        </w:rPr>
        <w:t>1</w:t>
      </w:r>
      <w:r>
        <w:rPr>
          <w:rFonts w:hint="eastAsia" w:ascii="宋体" w:hAnsi="宋体" w:cs="宋体"/>
          <w:szCs w:val="21"/>
          <w:highlight w:val="none"/>
        </w:rPr>
        <w:t>1：项目管理服务清单）</w:t>
      </w:r>
    </w:p>
    <w:p w14:paraId="2759FEEA">
      <w:pPr>
        <w:spacing w:line="400" w:lineRule="exact"/>
        <w:ind w:firstLine="525" w:firstLineChars="250"/>
        <w:jc w:val="left"/>
        <w:rPr>
          <w:rFonts w:ascii="宋体"/>
          <w:szCs w:val="21"/>
          <w:highlight w:val="none"/>
        </w:rPr>
      </w:pPr>
      <w:r>
        <w:rPr>
          <w:rFonts w:ascii="宋体" w:hAnsi="宋体" w:cs="宋体"/>
          <w:szCs w:val="21"/>
          <w:highlight w:val="none"/>
        </w:rPr>
        <w:t xml:space="preserve">1.1.2 </w:t>
      </w:r>
      <w:r>
        <w:rPr>
          <w:rFonts w:hint="eastAsia" w:ascii="宋体" w:hAnsi="宋体" w:cs="宋体"/>
          <w:szCs w:val="21"/>
          <w:highlight w:val="none"/>
        </w:rPr>
        <w:t>项目管理工作要求：</w:t>
      </w:r>
    </w:p>
    <w:p w14:paraId="4295198B">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受托人在履行本合同义务期间，应遵循国家有关法律、法规和政策，维护委托人的合法权益。</w:t>
      </w:r>
    </w:p>
    <w:p w14:paraId="6D01CEB9">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对工程规模、设计标准、规划设计向委托人提出合理化建议。</w:t>
      </w:r>
    </w:p>
    <w:p w14:paraId="79647841">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施工工艺设计和使用功能要求等，可向委托人提出合理建议。</w:t>
      </w:r>
    </w:p>
    <w:p w14:paraId="1E6648EE">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根据国家相关规定的程序选择其他参建方。</w:t>
      </w:r>
    </w:p>
    <w:p w14:paraId="55089AEA">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对工程设计中的技术问题，按照安全和优化原则，向设计单位提出建议。如果由于提出的建议会提高工程造价，或延长工期，应当事先取得委托人的同意。当发现工程设计不符合国家颁布的建设工程质量标准或设计合同约定的质量标准时，受托人有权要求设计单位更正。</w:t>
      </w:r>
    </w:p>
    <w:p w14:paraId="462BF5A6">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按照保证质量、保证工期和降低投资的原则，有权会同监理审核工程施工组织设计和技术方案，同时上报委托人。</w:t>
      </w:r>
    </w:p>
    <w:p w14:paraId="1F7BB7B3">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受托人在委托人授权下，可对施工、监理及大宗材料采购合同规定的义务提出变更。如果由此影响了工程费用或质量、或进度，则这种变更需经委托人事先批准。</w:t>
      </w:r>
    </w:p>
    <w:p w14:paraId="6843120F">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负责按照批准的项目建议书批复内容，组织可行性研究报告和初步设计、施工图设计编制和报批工作。</w:t>
      </w:r>
    </w:p>
    <w:p w14:paraId="7018C6F4">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制定《项目管理规划大纲》、《项目管理实施规划》。</w:t>
      </w:r>
    </w:p>
    <w:p w14:paraId="01956200">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受托人在委托人的监督下负责组织其他参建方招标工作，签订相关合同，报有关部门备案。</w:t>
      </w:r>
    </w:p>
    <w:p w14:paraId="5ADD4814">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受托人应严格按照国家基本建设程序，按批准的建设规模、建设内容和建设标准实施组织管理，认真履行项目管理合同及投标书中工程管理的内容的承诺，实现工程建设投资、工程进度、工程质量及安全目标。</w:t>
      </w:r>
    </w:p>
    <w:p w14:paraId="76231C4D">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受托人应收集相关资料，编制并向委托人报送工程进度报告和管理工作报告。并约定时间向委托人汇报，接受委托人的监督。一经察觉可能会影响工程投资、工期和质量的事件时，受托人有义务尽早通知委托人。</w:t>
      </w:r>
    </w:p>
    <w:p w14:paraId="3C01B700">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工程建设过程中若发生重大伤亡及其他安全事故，受托人负责紧急处理，做好善后工作，及时通知委托人；如因受托人管理不善引起重大安全事故的，或者发生安全事故，受托人处理不当给委托人造成名誉、财产及其他损失的，委托人有权中止合同，同时向受托人追究经济以及其他责任。</w:t>
      </w:r>
    </w:p>
    <w:p w14:paraId="28D64CC0">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受托人管理该项目期间，负责协调各参建方之间的关系。并从维护委托人利益出发，维持和改善周边相邻单位关系，而不应以该项目与周边相邻单位关系为由，延误或终止本合同的执行。</w:t>
      </w:r>
    </w:p>
    <w:p w14:paraId="404B1BBF">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负责完成本项目建设的风险管理、财务管理等工作，协助项目委托人配合审计部门完成对本项目的审计。</w:t>
      </w:r>
    </w:p>
    <w:p w14:paraId="1C74387E">
      <w:pPr>
        <w:numPr>
          <w:ilvl w:val="0"/>
          <w:numId w:val="4"/>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受托人对建设过程中的安全、健康与环境负有监督、管理的责任。</w:t>
      </w:r>
    </w:p>
    <w:p w14:paraId="31A805E7">
      <w:pPr>
        <w:spacing w:line="400" w:lineRule="exact"/>
        <w:ind w:firstLine="525" w:firstLineChars="250"/>
        <w:jc w:val="left"/>
        <w:rPr>
          <w:rFonts w:ascii="宋体"/>
          <w:szCs w:val="21"/>
          <w:highlight w:val="none"/>
        </w:rPr>
      </w:pPr>
    </w:p>
    <w:p w14:paraId="15F73760">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1.2 </w:t>
      </w:r>
      <w:r>
        <w:rPr>
          <w:rFonts w:hint="eastAsia" w:ascii="宋体" w:hAnsi="宋体" w:cs="宋体"/>
          <w:bCs/>
          <w:szCs w:val="21"/>
          <w:highlight w:val="none"/>
        </w:rPr>
        <w:t>履行职责</w:t>
      </w:r>
    </w:p>
    <w:p w14:paraId="48142A27">
      <w:pPr>
        <w:spacing w:line="400" w:lineRule="exact"/>
        <w:ind w:firstLine="420" w:firstLineChars="200"/>
        <w:jc w:val="left"/>
        <w:rPr>
          <w:rFonts w:ascii="宋体"/>
          <w:szCs w:val="21"/>
          <w:highlight w:val="none"/>
        </w:rPr>
      </w:pPr>
      <w:r>
        <w:rPr>
          <w:rFonts w:ascii="宋体" w:hAnsi="宋体"/>
          <w:szCs w:val="21"/>
          <w:highlight w:val="none"/>
        </w:rPr>
        <w:t xml:space="preserve">1.2.1 </w:t>
      </w:r>
      <w:r>
        <w:rPr>
          <w:rFonts w:hint="eastAsia" w:ascii="宋体" w:hAnsi="宋体"/>
          <w:szCs w:val="21"/>
          <w:highlight w:val="none"/>
        </w:rPr>
        <w:t>在全过程工程咨询服务范围内，委托人和其他参建方提出的意见和要求，受托人应及时提出处置意见。当委托人与其他参建方之间发生合同争议时，受托人应协助委托人协商解决。</w:t>
      </w:r>
    </w:p>
    <w:p w14:paraId="48A1F08F">
      <w:pPr>
        <w:spacing w:line="400" w:lineRule="exact"/>
        <w:ind w:firstLine="420" w:firstLineChars="200"/>
        <w:jc w:val="left"/>
        <w:rPr>
          <w:rFonts w:ascii="宋体"/>
          <w:szCs w:val="21"/>
          <w:highlight w:val="none"/>
        </w:rPr>
      </w:pPr>
      <w:r>
        <w:rPr>
          <w:rFonts w:ascii="宋体" w:hAnsi="宋体"/>
          <w:szCs w:val="21"/>
          <w:highlight w:val="none"/>
        </w:rPr>
        <w:t xml:space="preserve">1.2.2 </w:t>
      </w:r>
      <w:r>
        <w:rPr>
          <w:rFonts w:hint="eastAsia" w:ascii="宋体" w:hAnsi="宋体"/>
          <w:szCs w:val="21"/>
          <w:highlight w:val="none"/>
        </w:rPr>
        <w:t>当委托人与其他参建方之间的合同争议提交仲裁机构仲裁或人民法院审理时，受托人应提供必要的证明资料。</w:t>
      </w:r>
    </w:p>
    <w:p w14:paraId="0796885A">
      <w:pPr>
        <w:spacing w:line="400" w:lineRule="exact"/>
        <w:ind w:firstLine="420" w:firstLineChars="200"/>
        <w:jc w:val="left"/>
        <w:rPr>
          <w:rFonts w:ascii="宋体"/>
          <w:szCs w:val="21"/>
          <w:highlight w:val="none"/>
        </w:rPr>
      </w:pPr>
      <w:r>
        <w:rPr>
          <w:rFonts w:ascii="宋体" w:hAnsi="宋体"/>
          <w:szCs w:val="21"/>
          <w:highlight w:val="none"/>
        </w:rPr>
        <w:t xml:space="preserve">1.2.3 </w:t>
      </w:r>
      <w:r>
        <w:rPr>
          <w:rFonts w:hint="eastAsia" w:ascii="宋体" w:hAnsi="宋体"/>
          <w:szCs w:val="21"/>
          <w:highlight w:val="none"/>
        </w:rPr>
        <w:t>受托人应在本合同约定的授权范围内，处理委托人与其他参建方所签订合同的变更事宜。如果变更超过授权范围，应以书面形式报委托人批准。</w:t>
      </w:r>
    </w:p>
    <w:p w14:paraId="34F9957A">
      <w:pPr>
        <w:spacing w:line="400" w:lineRule="exact"/>
        <w:ind w:firstLine="420" w:firstLineChars="200"/>
        <w:jc w:val="left"/>
        <w:rPr>
          <w:rFonts w:ascii="宋体"/>
          <w:szCs w:val="21"/>
          <w:highlight w:val="none"/>
        </w:rPr>
      </w:pPr>
      <w:r>
        <w:rPr>
          <w:rFonts w:hint="eastAsia" w:ascii="宋体" w:hAnsi="宋体"/>
          <w:szCs w:val="21"/>
          <w:highlight w:val="none"/>
        </w:rPr>
        <w:t>在紧急情况下，为了保护财产和人身安全，受托人所发出的指令未能事先报委托人批准时，应在发出指令后的</w:t>
      </w:r>
      <w:r>
        <w:rPr>
          <w:rFonts w:ascii="宋体" w:hAnsi="宋体"/>
          <w:szCs w:val="21"/>
          <w:highlight w:val="none"/>
        </w:rPr>
        <w:t>24</w:t>
      </w:r>
      <w:r>
        <w:rPr>
          <w:rFonts w:hint="eastAsia" w:ascii="宋体" w:hAnsi="宋体"/>
          <w:szCs w:val="21"/>
          <w:highlight w:val="none"/>
        </w:rPr>
        <w:t>小时内以书面形式报委托人。</w:t>
      </w:r>
    </w:p>
    <w:p w14:paraId="65E8264F">
      <w:pPr>
        <w:spacing w:line="400" w:lineRule="exact"/>
        <w:ind w:firstLine="525" w:firstLineChars="250"/>
        <w:jc w:val="left"/>
        <w:rPr>
          <w:rFonts w:ascii="宋体" w:cs="宋体"/>
          <w:szCs w:val="21"/>
          <w:highlight w:val="none"/>
        </w:rPr>
      </w:pPr>
      <w:r>
        <w:rPr>
          <w:rFonts w:hint="eastAsia" w:ascii="宋体" w:hAnsi="宋体" w:cs="宋体"/>
          <w:szCs w:val="21"/>
          <w:highlight w:val="none"/>
        </w:rPr>
        <w:t>对受托人的授权范围：</w:t>
      </w:r>
      <w:r>
        <w:rPr>
          <w:rFonts w:ascii="宋体" w:hAnsi="宋体" w:cs="宋体"/>
          <w:szCs w:val="21"/>
          <w:highlight w:val="none"/>
          <w:u w:val="single"/>
        </w:rPr>
        <w:t xml:space="preserve">                                  </w:t>
      </w:r>
      <w:r>
        <w:rPr>
          <w:rFonts w:hint="eastAsia" w:ascii="宋体" w:hAnsi="宋体" w:cs="宋体"/>
          <w:szCs w:val="21"/>
          <w:highlight w:val="none"/>
        </w:rPr>
        <w:t>。</w:t>
      </w:r>
    </w:p>
    <w:p w14:paraId="16129F5C">
      <w:pPr>
        <w:spacing w:line="400" w:lineRule="exact"/>
        <w:ind w:firstLine="525" w:firstLineChars="250"/>
        <w:jc w:val="left"/>
        <w:rPr>
          <w:rFonts w:ascii="宋体" w:cs="宋体"/>
          <w:szCs w:val="21"/>
          <w:highlight w:val="none"/>
        </w:rPr>
      </w:pPr>
      <w:r>
        <w:rPr>
          <w:rFonts w:hint="eastAsia" w:ascii="宋体" w:hAnsi="宋体" w:cs="宋体"/>
          <w:szCs w:val="21"/>
          <w:highlight w:val="none"/>
        </w:rPr>
        <w:t>在涉及工期延期</w:t>
      </w:r>
      <w:r>
        <w:rPr>
          <w:rFonts w:ascii="宋体" w:hAnsi="宋体" w:cs="宋体"/>
          <w:szCs w:val="21"/>
          <w:highlight w:val="none"/>
          <w:u w:val="single"/>
        </w:rPr>
        <w:t xml:space="preserve">     </w:t>
      </w:r>
      <w:r>
        <w:rPr>
          <w:rFonts w:hint="eastAsia" w:ascii="宋体" w:hAnsi="宋体" w:cs="宋体"/>
          <w:szCs w:val="21"/>
          <w:highlight w:val="none"/>
        </w:rPr>
        <w:t>天内和（或）金额</w:t>
      </w:r>
      <w:r>
        <w:rPr>
          <w:rFonts w:ascii="宋体" w:hAnsi="宋体" w:cs="宋体"/>
          <w:szCs w:val="21"/>
          <w:highlight w:val="none"/>
          <w:u w:val="single"/>
        </w:rPr>
        <w:t xml:space="preserve">     </w:t>
      </w:r>
      <w:r>
        <w:rPr>
          <w:rFonts w:hint="eastAsia" w:ascii="宋体" w:hAnsi="宋体" w:cs="宋体"/>
          <w:szCs w:val="21"/>
          <w:highlight w:val="none"/>
        </w:rPr>
        <w:t>万元内的变更，受托人不需请示委托人即可向其他参建方发布变更通知。</w:t>
      </w:r>
    </w:p>
    <w:p w14:paraId="63784D28">
      <w:pPr>
        <w:spacing w:line="400" w:lineRule="exact"/>
        <w:ind w:firstLine="525" w:firstLineChars="250"/>
        <w:jc w:val="left"/>
        <w:rPr>
          <w:rFonts w:ascii="宋体"/>
          <w:szCs w:val="21"/>
          <w:highlight w:val="none"/>
        </w:rPr>
      </w:pPr>
      <w:r>
        <w:rPr>
          <w:rFonts w:ascii="宋体" w:hAnsi="宋体"/>
          <w:szCs w:val="21"/>
          <w:highlight w:val="none"/>
        </w:rPr>
        <w:t xml:space="preserve">1.2.4 </w:t>
      </w:r>
      <w:r>
        <w:rPr>
          <w:rFonts w:hint="eastAsia" w:ascii="宋体" w:hAnsi="宋体"/>
          <w:szCs w:val="21"/>
          <w:highlight w:val="none"/>
        </w:rPr>
        <w:t>除本合同另有约定外，受托人发现其他参建方的人员不能胜任本职工作的，有权要求其他参建方予以调换。</w:t>
      </w:r>
    </w:p>
    <w:p w14:paraId="1934F557">
      <w:pPr>
        <w:spacing w:line="400" w:lineRule="exact"/>
        <w:ind w:firstLine="525" w:firstLineChars="250"/>
        <w:jc w:val="left"/>
        <w:rPr>
          <w:rFonts w:ascii="宋体"/>
          <w:szCs w:val="21"/>
          <w:highlight w:val="none"/>
        </w:rPr>
      </w:pPr>
      <w:r>
        <w:rPr>
          <w:rFonts w:hint="eastAsia" w:ascii="宋体" w:hAnsi="宋体"/>
          <w:szCs w:val="21"/>
          <w:highlight w:val="none"/>
        </w:rPr>
        <w:t>受托人有权要求其他参建方调换其人员的限制条件：</w:t>
      </w:r>
      <w:r>
        <w:rPr>
          <w:rFonts w:ascii="宋体" w:hAnsi="宋体"/>
          <w:szCs w:val="21"/>
          <w:highlight w:val="none"/>
          <w:u w:val="single"/>
        </w:rPr>
        <w:t xml:space="preserve">                  </w:t>
      </w:r>
      <w:r>
        <w:rPr>
          <w:rFonts w:hint="eastAsia" w:ascii="宋体" w:hAnsi="宋体"/>
          <w:szCs w:val="21"/>
          <w:highlight w:val="none"/>
        </w:rPr>
        <w:t>。</w:t>
      </w:r>
    </w:p>
    <w:p w14:paraId="1FB4BD1C">
      <w:pPr>
        <w:spacing w:line="360" w:lineRule="auto"/>
        <w:ind w:firstLine="422" w:firstLineChars="200"/>
        <w:jc w:val="left"/>
        <w:outlineLvl w:val="3"/>
        <w:rPr>
          <w:rFonts w:ascii="宋体" w:cs="宋体"/>
          <w:b/>
          <w:szCs w:val="21"/>
          <w:highlight w:val="none"/>
        </w:rPr>
      </w:pPr>
      <w:bookmarkStart w:id="359" w:name="_Toc478380052"/>
      <w:bookmarkStart w:id="360" w:name="_Toc521351575"/>
      <w:bookmarkStart w:id="361" w:name="_Toc509302684"/>
      <w:bookmarkStart w:id="362" w:name="_Toc478373447"/>
      <w:bookmarkStart w:id="363" w:name="_Toc522389791"/>
      <w:bookmarkStart w:id="364" w:name="_Toc527955054"/>
      <w:r>
        <w:rPr>
          <w:rFonts w:ascii="宋体" w:hAnsi="宋体" w:cs="宋体"/>
          <w:b/>
          <w:szCs w:val="21"/>
          <w:highlight w:val="none"/>
        </w:rPr>
        <w:t xml:space="preserve">2. </w:t>
      </w:r>
      <w:r>
        <w:rPr>
          <w:rFonts w:hint="eastAsia" w:ascii="宋体" w:hAnsi="宋体" w:cs="宋体"/>
          <w:b/>
          <w:szCs w:val="21"/>
          <w:highlight w:val="none"/>
        </w:rPr>
        <w:t>委托人的义务</w:t>
      </w:r>
      <w:bookmarkEnd w:id="359"/>
      <w:bookmarkEnd w:id="360"/>
      <w:bookmarkEnd w:id="361"/>
      <w:bookmarkEnd w:id="362"/>
      <w:bookmarkEnd w:id="363"/>
      <w:bookmarkEnd w:id="364"/>
    </w:p>
    <w:p w14:paraId="73C79EFB">
      <w:pPr>
        <w:spacing w:line="360" w:lineRule="auto"/>
        <w:ind w:firstLine="420" w:firstLineChars="200"/>
        <w:jc w:val="left"/>
        <w:rPr>
          <w:rFonts w:ascii="宋体"/>
          <w:szCs w:val="21"/>
          <w:highlight w:val="none"/>
        </w:rPr>
      </w:pPr>
      <w:r>
        <w:rPr>
          <w:rFonts w:ascii="宋体" w:hAnsi="宋体"/>
          <w:szCs w:val="21"/>
          <w:highlight w:val="none"/>
        </w:rPr>
        <w:t xml:space="preserve">2.1 </w:t>
      </w:r>
      <w:r>
        <w:rPr>
          <w:rFonts w:hint="eastAsia" w:ascii="宋体" w:hAnsi="宋体"/>
          <w:szCs w:val="21"/>
          <w:highlight w:val="none"/>
        </w:rPr>
        <w:t>提供工作条件</w:t>
      </w:r>
    </w:p>
    <w:p w14:paraId="4C2AEBC8">
      <w:pPr>
        <w:spacing w:line="360" w:lineRule="auto"/>
        <w:ind w:firstLine="420" w:firstLineChars="200"/>
        <w:jc w:val="left"/>
        <w:rPr>
          <w:rFonts w:hint="eastAsia" w:ascii="宋体" w:hAnsi="宋体"/>
          <w:szCs w:val="21"/>
          <w:highlight w:val="none"/>
        </w:rPr>
      </w:pPr>
      <w:r>
        <w:rPr>
          <w:rFonts w:ascii="宋体" w:hAnsi="宋体"/>
          <w:szCs w:val="21"/>
          <w:highlight w:val="none"/>
        </w:rPr>
        <w:t xml:space="preserve">2.1.2 </w:t>
      </w:r>
      <w:r>
        <w:rPr>
          <w:rFonts w:hint="eastAsia" w:ascii="宋体" w:hAnsi="宋体"/>
          <w:szCs w:val="21"/>
          <w:highlight w:val="none"/>
        </w:rPr>
        <w:t>委托人协助受托人办理各项建设手续，负责缴纳规划、城市管理和相关政策性费用。</w:t>
      </w:r>
    </w:p>
    <w:p w14:paraId="25A44760">
      <w:pPr>
        <w:spacing w:line="360" w:lineRule="auto"/>
        <w:ind w:firstLine="420" w:firstLineChars="200"/>
        <w:jc w:val="left"/>
        <w:rPr>
          <w:rFonts w:ascii="宋体"/>
          <w:szCs w:val="21"/>
          <w:highlight w:val="none"/>
        </w:rPr>
      </w:pPr>
      <w:r>
        <w:rPr>
          <w:rFonts w:ascii="宋体" w:hAnsi="宋体"/>
          <w:szCs w:val="21"/>
          <w:highlight w:val="none"/>
        </w:rPr>
        <w:t xml:space="preserve">2.2 </w:t>
      </w:r>
      <w:r>
        <w:rPr>
          <w:rFonts w:hint="eastAsia" w:ascii="宋体" w:hAnsi="宋体"/>
          <w:szCs w:val="21"/>
          <w:highlight w:val="none"/>
        </w:rPr>
        <w:t>审核与答复</w:t>
      </w:r>
    </w:p>
    <w:p w14:paraId="2A53010C">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）委托人负责审批可行性研究报告、初步设计（含概算）</w:t>
      </w:r>
    </w:p>
    <w:p w14:paraId="4D5BF4A9">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）委托人应及时确定工程规模、设计标准、规划设计。</w:t>
      </w:r>
    </w:p>
    <w:p w14:paraId="5BC5E649">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）委托人应及时确认设计使用功能要求和工艺设计要求。</w:t>
      </w:r>
    </w:p>
    <w:p w14:paraId="52207821">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）委托人应及时审批工程设计变更。</w:t>
      </w:r>
    </w:p>
    <w:p w14:paraId="42AD5C42">
      <w:pPr>
        <w:spacing w:line="400" w:lineRule="exact"/>
        <w:ind w:firstLine="525" w:firstLineChars="250"/>
        <w:jc w:val="left"/>
        <w:rPr>
          <w:rFonts w:hint="eastAsia" w:ascii="宋体" w:hAnsi="宋体" w:cs="宋体"/>
          <w:kern w:val="0"/>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）委托人对受托人提交的申请、报告、文件等资料，应当及时进行审核和审批。</w:t>
      </w:r>
    </w:p>
    <w:p w14:paraId="0FB93AC1">
      <w:pPr>
        <w:spacing w:line="360" w:lineRule="auto"/>
        <w:ind w:firstLine="420" w:firstLineChars="200"/>
        <w:jc w:val="left"/>
        <w:rPr>
          <w:rFonts w:ascii="宋体" w:cs="宋体"/>
          <w:kern w:val="0"/>
          <w:szCs w:val="21"/>
          <w:highlight w:val="none"/>
        </w:rPr>
      </w:pPr>
      <w:r>
        <w:rPr>
          <w:rFonts w:ascii="宋体" w:hAnsi="宋体" w:cs="宋体"/>
          <w:kern w:val="0"/>
          <w:szCs w:val="21"/>
          <w:highlight w:val="none"/>
        </w:rPr>
        <w:t>2.</w:t>
      </w:r>
      <w:r>
        <w:rPr>
          <w:rFonts w:hint="eastAsia" w:ascii="宋体" w:hAnsi="宋体" w:cs="宋体"/>
          <w:kern w:val="0"/>
          <w:szCs w:val="21"/>
          <w:highlight w:val="none"/>
        </w:rPr>
        <w:t>3</w:t>
      </w:r>
      <w:r>
        <w:rPr>
          <w:rFonts w:ascii="宋体" w:hAnsi="宋体" w:cs="宋体"/>
          <w:kern w:val="0"/>
          <w:szCs w:val="21"/>
          <w:highlight w:val="none"/>
        </w:rPr>
        <w:t xml:space="preserve"> </w:t>
      </w:r>
      <w:r>
        <w:rPr>
          <w:rFonts w:hint="eastAsia" w:ascii="宋体" w:hAnsi="宋体" w:cs="宋体"/>
          <w:kern w:val="0"/>
          <w:szCs w:val="21"/>
          <w:highlight w:val="none"/>
        </w:rPr>
        <w:t>委托人意见或要求</w:t>
      </w:r>
    </w:p>
    <w:p w14:paraId="500FAB5F">
      <w:pPr>
        <w:spacing w:line="360" w:lineRule="auto"/>
        <w:ind w:firstLine="420" w:firstLineChars="200"/>
        <w:jc w:val="left"/>
        <w:rPr>
          <w:rFonts w:ascii="宋体" w:cs="宋体"/>
          <w:szCs w:val="21"/>
          <w:highlight w:val="none"/>
        </w:rPr>
      </w:pPr>
      <w:r>
        <w:rPr>
          <w:rFonts w:hint="eastAsia" w:ascii="宋体" w:hAnsi="宋体" w:cs="宋体"/>
          <w:szCs w:val="21"/>
          <w:highlight w:val="none"/>
        </w:rPr>
        <w:t>在本合同约定的全过程工程咨询服务工作范围内，委托人对其他参建方的任何意见或要求应通知受托人，由受托人向其他参建方发出相应指令。</w:t>
      </w:r>
    </w:p>
    <w:p w14:paraId="042E2A44">
      <w:pPr>
        <w:spacing w:line="360" w:lineRule="auto"/>
        <w:ind w:firstLine="420" w:firstLineChars="200"/>
        <w:jc w:val="left"/>
        <w:rPr>
          <w:rFonts w:hint="eastAsia" w:ascii="宋体" w:hAnsi="宋体"/>
          <w:szCs w:val="21"/>
          <w:highlight w:val="none"/>
        </w:rPr>
      </w:pPr>
    </w:p>
    <w:p w14:paraId="7A182281">
      <w:pPr>
        <w:spacing w:line="360" w:lineRule="auto"/>
        <w:ind w:firstLine="420" w:firstLineChars="200"/>
        <w:jc w:val="left"/>
        <w:rPr>
          <w:rFonts w:ascii="宋体"/>
          <w:szCs w:val="21"/>
          <w:highlight w:val="none"/>
        </w:rPr>
      </w:pPr>
      <w:r>
        <w:rPr>
          <w:rFonts w:ascii="宋体" w:hAnsi="宋体"/>
          <w:szCs w:val="21"/>
          <w:highlight w:val="none"/>
        </w:rPr>
        <w:t>2.</w:t>
      </w:r>
      <w:r>
        <w:rPr>
          <w:rFonts w:hint="eastAsia" w:ascii="宋体" w:hAnsi="宋体"/>
          <w:szCs w:val="21"/>
          <w:highlight w:val="none"/>
        </w:rPr>
        <w:t>4参与和监督</w:t>
      </w:r>
    </w:p>
    <w:p w14:paraId="0AF0AAB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）委托人有权对工程、设备采购等招标采购工作进行监督，对受托人组织的合同谈判进行监督。</w:t>
      </w:r>
    </w:p>
    <w:p w14:paraId="4DD2386C">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）委托人有权对工程质量和施工进度进行监督，参与项目建设过程中的阶段性验收和竣工验收。</w:t>
      </w:r>
    </w:p>
    <w:p w14:paraId="14CB7070">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）委托人有权依法对项目管理工作进行检查和监督，并对受托方违规行为予以查处和纠正。</w:t>
      </w:r>
    </w:p>
    <w:p w14:paraId="5BA52D10">
      <w:pPr>
        <w:spacing w:line="360" w:lineRule="auto"/>
        <w:ind w:firstLine="422" w:firstLineChars="200"/>
        <w:jc w:val="left"/>
        <w:outlineLvl w:val="3"/>
        <w:rPr>
          <w:rFonts w:ascii="宋体" w:cs="宋体"/>
          <w:b/>
          <w:szCs w:val="21"/>
          <w:highlight w:val="none"/>
        </w:rPr>
      </w:pPr>
      <w:bookmarkStart w:id="365" w:name="_Toc522389792"/>
      <w:bookmarkStart w:id="366" w:name="_Toc527955055"/>
      <w:r>
        <w:rPr>
          <w:rFonts w:ascii="宋体" w:hAnsi="宋体" w:cs="宋体"/>
          <w:b/>
          <w:szCs w:val="21"/>
          <w:highlight w:val="none"/>
        </w:rPr>
        <w:t xml:space="preserve">3. </w:t>
      </w:r>
      <w:r>
        <w:rPr>
          <w:rFonts w:hint="eastAsia" w:ascii="宋体" w:hAnsi="宋体" w:cs="宋体"/>
          <w:b/>
          <w:szCs w:val="21"/>
          <w:highlight w:val="none"/>
        </w:rPr>
        <w:t>违约责任</w:t>
      </w:r>
      <w:bookmarkEnd w:id="365"/>
      <w:bookmarkEnd w:id="366"/>
    </w:p>
    <w:p w14:paraId="6ABE9760">
      <w:pPr>
        <w:spacing w:line="360" w:lineRule="auto"/>
        <w:ind w:firstLine="420" w:firstLineChars="200"/>
        <w:jc w:val="left"/>
        <w:rPr>
          <w:rFonts w:hint="eastAsia" w:ascii="宋体" w:hAnsi="宋体"/>
          <w:szCs w:val="21"/>
          <w:highlight w:val="none"/>
        </w:rPr>
      </w:pPr>
      <w:r>
        <w:rPr>
          <w:rFonts w:ascii="宋体" w:hAnsi="宋体"/>
          <w:szCs w:val="21"/>
          <w:highlight w:val="none"/>
        </w:rPr>
        <w:t xml:space="preserve">3.1 </w:t>
      </w:r>
      <w:r>
        <w:rPr>
          <w:rFonts w:hint="eastAsia" w:ascii="宋体" w:hAnsi="宋体"/>
          <w:szCs w:val="21"/>
          <w:highlight w:val="none"/>
        </w:rPr>
        <w:t>受托人的违约责任</w:t>
      </w:r>
    </w:p>
    <w:p w14:paraId="2CC2328A">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）因受托人原因不能按照专用条件约定日期或顺延后工期竣工的；</w:t>
      </w:r>
    </w:p>
    <w:p w14:paraId="3119AADB">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）因受托人原因工程质量达不到协议书约定质量标准的；</w:t>
      </w:r>
    </w:p>
    <w:p w14:paraId="40BC5B6A">
      <w:pPr>
        <w:spacing w:line="360" w:lineRule="auto"/>
        <w:ind w:firstLine="422" w:firstLineChars="200"/>
        <w:jc w:val="left"/>
        <w:outlineLvl w:val="3"/>
        <w:rPr>
          <w:rFonts w:ascii="宋体" w:cs="宋体"/>
          <w:b/>
          <w:szCs w:val="21"/>
          <w:highlight w:val="none"/>
        </w:rPr>
      </w:pPr>
      <w:bookmarkStart w:id="367" w:name="_Toc522389793"/>
      <w:bookmarkStart w:id="368" w:name="_Toc527955056"/>
      <w:bookmarkStart w:id="369" w:name="_Toc509302651"/>
      <w:r>
        <w:rPr>
          <w:rFonts w:ascii="宋体" w:hAnsi="宋体" w:cs="宋体"/>
          <w:b/>
          <w:szCs w:val="21"/>
          <w:highlight w:val="none"/>
        </w:rPr>
        <w:t xml:space="preserve">4. </w:t>
      </w:r>
      <w:r>
        <w:rPr>
          <w:rFonts w:hint="eastAsia" w:ascii="宋体" w:hAnsi="宋体" w:cs="宋体"/>
          <w:b/>
          <w:szCs w:val="21"/>
          <w:highlight w:val="none"/>
        </w:rPr>
        <w:t>补充条款</w:t>
      </w:r>
      <w:bookmarkEnd w:id="367"/>
      <w:bookmarkEnd w:id="368"/>
    </w:p>
    <w:p w14:paraId="150BD2C5">
      <w:pPr>
        <w:spacing w:line="360" w:lineRule="auto"/>
        <w:ind w:firstLine="420" w:firstLineChars="200"/>
        <w:jc w:val="left"/>
        <w:rPr>
          <w:rFonts w:ascii="宋体"/>
          <w:szCs w:val="21"/>
          <w:highlight w:val="none"/>
        </w:rPr>
      </w:pPr>
      <w:r>
        <w:rPr>
          <w:rFonts w:ascii="宋体" w:hAnsi="宋体"/>
          <w:szCs w:val="21"/>
          <w:highlight w:val="none"/>
        </w:rPr>
        <w:t xml:space="preserve">4.1 </w:t>
      </w:r>
      <w:r>
        <w:rPr>
          <w:rFonts w:hint="eastAsia" w:ascii="宋体" w:hAnsi="宋体"/>
          <w:szCs w:val="21"/>
          <w:highlight w:val="none"/>
        </w:rPr>
        <w:t>进度管理</w:t>
      </w:r>
      <w:bookmarkEnd w:id="369"/>
    </w:p>
    <w:p w14:paraId="01A17A34">
      <w:pPr>
        <w:spacing w:line="400" w:lineRule="exact"/>
        <w:ind w:firstLine="525" w:firstLineChars="250"/>
        <w:jc w:val="left"/>
        <w:rPr>
          <w:rFonts w:ascii="宋体"/>
          <w:szCs w:val="21"/>
          <w:highlight w:val="none"/>
        </w:rPr>
      </w:pPr>
      <w:r>
        <w:rPr>
          <w:rFonts w:ascii="宋体" w:hAnsi="宋体"/>
          <w:szCs w:val="21"/>
          <w:highlight w:val="none"/>
        </w:rPr>
        <w:t>4.1.1</w:t>
      </w:r>
      <w:r>
        <w:rPr>
          <w:rFonts w:hint="eastAsia" w:ascii="宋体" w:hAnsi="宋体"/>
          <w:szCs w:val="21"/>
          <w:highlight w:val="none"/>
        </w:rPr>
        <w:t>受托人按照本合同约定的进度目标，编制项目总体计划，并报委托人审批，以经委托人审批的总进度计划作为整个项目进度管理的依据。</w:t>
      </w:r>
    </w:p>
    <w:p w14:paraId="2AD9DDEE">
      <w:pPr>
        <w:spacing w:line="400" w:lineRule="exact"/>
        <w:ind w:firstLine="525" w:firstLineChars="250"/>
        <w:jc w:val="left"/>
        <w:rPr>
          <w:rFonts w:ascii="宋体"/>
          <w:szCs w:val="21"/>
          <w:highlight w:val="none"/>
          <w:u w:val="single"/>
        </w:rPr>
      </w:pPr>
      <w:r>
        <w:rPr>
          <w:rFonts w:hint="eastAsia" w:ascii="宋体" w:hAnsi="宋体"/>
          <w:szCs w:val="21"/>
          <w:highlight w:val="none"/>
        </w:rPr>
        <w:t>本合同进度目标：</w:t>
      </w:r>
      <w:r>
        <w:rPr>
          <w:rFonts w:ascii="宋体" w:hAnsi="宋体"/>
          <w:szCs w:val="21"/>
          <w:highlight w:val="none"/>
          <w:u w:val="single"/>
        </w:rPr>
        <w:t xml:space="preserve">                            </w:t>
      </w:r>
      <w:r>
        <w:rPr>
          <w:rFonts w:hint="eastAsia" w:ascii="宋体" w:hAnsi="宋体"/>
          <w:szCs w:val="21"/>
          <w:highlight w:val="none"/>
          <w:u w:val="single"/>
        </w:rPr>
        <w:t>。</w:t>
      </w:r>
    </w:p>
    <w:p w14:paraId="0323C06B">
      <w:pPr>
        <w:spacing w:line="400" w:lineRule="exact"/>
        <w:ind w:firstLine="525" w:firstLineChars="250"/>
        <w:jc w:val="left"/>
        <w:rPr>
          <w:rFonts w:ascii="宋体"/>
          <w:szCs w:val="21"/>
          <w:highlight w:val="none"/>
        </w:rPr>
      </w:pPr>
      <w:r>
        <w:rPr>
          <w:rFonts w:ascii="宋体" w:hAnsi="宋体"/>
          <w:szCs w:val="21"/>
          <w:highlight w:val="none"/>
        </w:rPr>
        <w:t xml:space="preserve">4.1.2 </w:t>
      </w:r>
      <w:r>
        <w:rPr>
          <w:rFonts w:hint="eastAsia" w:ascii="宋体" w:hAnsi="宋体"/>
          <w:szCs w:val="21"/>
          <w:highlight w:val="none"/>
        </w:rPr>
        <w:t>受托人有权审核各其他参建方的进度计划，对进度计划进行分级管理，通过不断的检查、调整、预测，提出相应的控制措施，确保实现工期目标。</w:t>
      </w:r>
    </w:p>
    <w:p w14:paraId="0D997665">
      <w:pPr>
        <w:spacing w:line="400" w:lineRule="exact"/>
        <w:ind w:firstLine="525" w:firstLineChars="250"/>
        <w:jc w:val="left"/>
        <w:rPr>
          <w:rFonts w:ascii="宋体"/>
          <w:szCs w:val="21"/>
          <w:highlight w:val="none"/>
        </w:rPr>
      </w:pPr>
      <w:r>
        <w:rPr>
          <w:rFonts w:ascii="宋体" w:hAnsi="宋体"/>
          <w:szCs w:val="21"/>
          <w:highlight w:val="none"/>
        </w:rPr>
        <w:t xml:space="preserve">4.1.3 </w:t>
      </w:r>
      <w:r>
        <w:rPr>
          <w:rFonts w:hint="eastAsia" w:ascii="宋体" w:hAnsi="宋体"/>
          <w:szCs w:val="21"/>
          <w:highlight w:val="none"/>
        </w:rPr>
        <w:t>在项目实施过程中，受托人应进行进度计划值与实际值的比较，及时向委托人汇报进度控制情况。</w:t>
      </w:r>
    </w:p>
    <w:p w14:paraId="535FAE49">
      <w:pPr>
        <w:spacing w:line="400" w:lineRule="exact"/>
        <w:ind w:firstLine="525" w:firstLineChars="250"/>
        <w:jc w:val="left"/>
        <w:rPr>
          <w:rFonts w:ascii="宋体"/>
          <w:szCs w:val="21"/>
          <w:highlight w:val="none"/>
        </w:rPr>
      </w:pPr>
      <w:r>
        <w:rPr>
          <w:rFonts w:ascii="宋体" w:hAnsi="宋体"/>
          <w:szCs w:val="21"/>
          <w:highlight w:val="none"/>
        </w:rPr>
        <w:t xml:space="preserve">4.1.4 </w:t>
      </w:r>
      <w:r>
        <w:rPr>
          <w:rFonts w:hint="eastAsia" w:ascii="宋体" w:hAnsi="宋体"/>
          <w:szCs w:val="21"/>
          <w:highlight w:val="none"/>
        </w:rPr>
        <w:t>工期延期</w:t>
      </w:r>
    </w:p>
    <w:p w14:paraId="18AE1873">
      <w:pPr>
        <w:spacing w:line="400" w:lineRule="exact"/>
        <w:ind w:firstLine="525" w:firstLineChars="250"/>
        <w:jc w:val="left"/>
        <w:rPr>
          <w:rFonts w:ascii="宋体"/>
          <w:szCs w:val="21"/>
          <w:highlight w:val="none"/>
        </w:rPr>
      </w:pPr>
      <w:r>
        <w:rPr>
          <w:rFonts w:ascii="宋体" w:hAnsi="宋体"/>
          <w:szCs w:val="21"/>
          <w:highlight w:val="none"/>
        </w:rPr>
        <w:t xml:space="preserve">4.1.4.1 </w:t>
      </w:r>
      <w:r>
        <w:rPr>
          <w:rFonts w:hint="eastAsia" w:ascii="宋体" w:hAnsi="宋体"/>
          <w:szCs w:val="21"/>
          <w:highlight w:val="none"/>
        </w:rPr>
        <w:t>工期延期包括下列情况</w:t>
      </w:r>
    </w:p>
    <w:p w14:paraId="69ECC18D">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）委托方原因；</w:t>
      </w:r>
    </w:p>
    <w:p w14:paraId="3ACA2CE4">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）不可抗力</w:t>
      </w:r>
    </w:p>
    <w:p w14:paraId="79290B87">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）根据项目实施过程中的具体情况，由委托方批准的工期顺延。</w:t>
      </w:r>
    </w:p>
    <w:p w14:paraId="36AC3F0B">
      <w:pPr>
        <w:spacing w:line="400" w:lineRule="exact"/>
        <w:ind w:firstLine="525" w:firstLineChars="250"/>
        <w:jc w:val="left"/>
        <w:rPr>
          <w:rFonts w:ascii="宋体"/>
          <w:szCs w:val="21"/>
          <w:highlight w:val="none"/>
        </w:rPr>
      </w:pPr>
      <w:r>
        <w:rPr>
          <w:rFonts w:ascii="宋体" w:hAnsi="宋体"/>
          <w:szCs w:val="21"/>
          <w:highlight w:val="none"/>
        </w:rPr>
        <w:t xml:space="preserve">4.1.4.2 </w:t>
      </w:r>
      <w:r>
        <w:rPr>
          <w:rFonts w:hint="eastAsia" w:ascii="宋体" w:hAnsi="宋体"/>
          <w:szCs w:val="21"/>
          <w:highlight w:val="none"/>
        </w:rPr>
        <w:t>发生工期延期，委托方按照本合同专用条件</w:t>
      </w:r>
      <w:r>
        <w:rPr>
          <w:rFonts w:ascii="宋体" w:hAnsi="宋体"/>
          <w:szCs w:val="21"/>
          <w:highlight w:val="none"/>
        </w:rPr>
        <w:t>7.2.2</w:t>
      </w:r>
      <w:r>
        <w:rPr>
          <w:rFonts w:hint="eastAsia" w:ascii="宋体" w:hAnsi="宋体"/>
          <w:szCs w:val="21"/>
          <w:highlight w:val="none"/>
        </w:rPr>
        <w:t>约定的附加工作酬金计算标准向受托方支付报酬。同时受托方有权就因工期延期对受托方造成的其他损失索赔。</w:t>
      </w:r>
    </w:p>
    <w:p w14:paraId="08FB4C5C">
      <w:pPr>
        <w:spacing w:line="400" w:lineRule="exact"/>
        <w:ind w:firstLine="525" w:firstLineChars="250"/>
        <w:jc w:val="left"/>
        <w:rPr>
          <w:rFonts w:ascii="宋体"/>
          <w:szCs w:val="21"/>
          <w:highlight w:val="none"/>
        </w:rPr>
      </w:pPr>
      <w:r>
        <w:rPr>
          <w:rFonts w:ascii="宋体" w:hAnsi="宋体"/>
          <w:szCs w:val="21"/>
          <w:highlight w:val="none"/>
        </w:rPr>
        <w:t xml:space="preserve">4.1.5 </w:t>
      </w:r>
      <w:r>
        <w:rPr>
          <w:rFonts w:hint="eastAsia" w:ascii="宋体" w:hAnsi="宋体"/>
          <w:szCs w:val="21"/>
          <w:highlight w:val="none"/>
        </w:rPr>
        <w:t>工期延误</w:t>
      </w:r>
    </w:p>
    <w:p w14:paraId="2BAD2437">
      <w:pPr>
        <w:spacing w:line="400" w:lineRule="exact"/>
        <w:ind w:firstLine="525" w:firstLineChars="250"/>
        <w:jc w:val="left"/>
        <w:rPr>
          <w:rFonts w:ascii="宋体"/>
          <w:szCs w:val="21"/>
          <w:highlight w:val="none"/>
        </w:rPr>
      </w:pPr>
      <w:r>
        <w:rPr>
          <w:rFonts w:ascii="宋体" w:hAnsi="宋体"/>
          <w:szCs w:val="21"/>
          <w:highlight w:val="none"/>
        </w:rPr>
        <w:t>4.1.5.1</w:t>
      </w:r>
      <w:r>
        <w:rPr>
          <w:rFonts w:hint="eastAsia" w:ascii="宋体" w:hAnsi="宋体"/>
          <w:szCs w:val="21"/>
          <w:highlight w:val="none"/>
        </w:rPr>
        <w:t>工期延误包括下列情况：</w:t>
      </w:r>
    </w:p>
    <w:p w14:paraId="2C530DB3">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）委托人原因；</w:t>
      </w:r>
    </w:p>
    <w:p w14:paraId="09415CF4">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）受托人原因；</w:t>
      </w:r>
    </w:p>
    <w:p w14:paraId="2B97B6B6">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）其他参建方原因。</w:t>
      </w:r>
    </w:p>
    <w:p w14:paraId="76493530">
      <w:pPr>
        <w:spacing w:line="400" w:lineRule="exact"/>
        <w:ind w:firstLine="525" w:firstLineChars="250"/>
        <w:jc w:val="left"/>
        <w:rPr>
          <w:rFonts w:ascii="宋体"/>
          <w:szCs w:val="21"/>
          <w:highlight w:val="none"/>
        </w:rPr>
      </w:pPr>
      <w:r>
        <w:rPr>
          <w:rFonts w:ascii="宋体" w:hAnsi="宋体"/>
          <w:szCs w:val="21"/>
          <w:highlight w:val="none"/>
        </w:rPr>
        <w:t xml:space="preserve">4.1.5.2 </w:t>
      </w:r>
      <w:r>
        <w:rPr>
          <w:rFonts w:hint="eastAsia" w:ascii="宋体" w:hAnsi="宋体"/>
          <w:szCs w:val="21"/>
          <w:highlight w:val="none"/>
        </w:rPr>
        <w:t>发生工期延误，受托人必须积极有效的进行进度控制。由于受托人原因造成的工期延误，受托人承担违约责任。</w:t>
      </w:r>
    </w:p>
    <w:p w14:paraId="718A60CE">
      <w:pPr>
        <w:spacing w:line="400" w:lineRule="exact"/>
        <w:ind w:firstLine="525" w:firstLineChars="250"/>
        <w:jc w:val="left"/>
        <w:rPr>
          <w:rFonts w:ascii="宋体"/>
          <w:szCs w:val="21"/>
          <w:highlight w:val="none"/>
        </w:rPr>
      </w:pPr>
      <w:r>
        <w:rPr>
          <w:rFonts w:hint="eastAsia" w:ascii="宋体" w:hAnsi="宋体"/>
          <w:szCs w:val="21"/>
          <w:highlight w:val="none"/>
        </w:rPr>
        <w:t>由于受托人原因造成的工期延误，受托人承担违约责任：</w:t>
      </w:r>
      <w:r>
        <w:rPr>
          <w:rFonts w:ascii="宋体" w:hAnsi="宋体"/>
          <w:szCs w:val="21"/>
          <w:highlight w:val="none"/>
          <w:u w:val="single"/>
        </w:rPr>
        <w:t xml:space="preserve">                </w:t>
      </w:r>
      <w:r>
        <w:rPr>
          <w:rFonts w:hint="eastAsia" w:ascii="宋体" w:hAnsi="宋体"/>
          <w:szCs w:val="21"/>
          <w:highlight w:val="none"/>
        </w:rPr>
        <w:t>。</w:t>
      </w:r>
    </w:p>
    <w:p w14:paraId="64B0AE1A">
      <w:pPr>
        <w:spacing w:line="400" w:lineRule="exact"/>
        <w:ind w:firstLine="525" w:firstLineChars="250"/>
        <w:jc w:val="left"/>
        <w:rPr>
          <w:rFonts w:ascii="宋体"/>
          <w:szCs w:val="21"/>
          <w:highlight w:val="none"/>
        </w:rPr>
      </w:pPr>
    </w:p>
    <w:p w14:paraId="6914119B">
      <w:pPr>
        <w:spacing w:line="360" w:lineRule="auto"/>
        <w:ind w:firstLine="420" w:firstLineChars="200"/>
        <w:jc w:val="left"/>
        <w:rPr>
          <w:rFonts w:ascii="宋体"/>
          <w:szCs w:val="21"/>
          <w:highlight w:val="none"/>
        </w:rPr>
      </w:pPr>
      <w:bookmarkStart w:id="370" w:name="_Toc509302652"/>
      <w:r>
        <w:rPr>
          <w:rFonts w:ascii="宋体" w:hAnsi="宋体"/>
          <w:szCs w:val="21"/>
          <w:highlight w:val="none"/>
        </w:rPr>
        <w:t xml:space="preserve">4.2 </w:t>
      </w:r>
      <w:r>
        <w:rPr>
          <w:rFonts w:hint="eastAsia" w:ascii="宋体" w:hAnsi="宋体"/>
          <w:szCs w:val="21"/>
          <w:highlight w:val="none"/>
        </w:rPr>
        <w:t>质量管理</w:t>
      </w:r>
      <w:bookmarkEnd w:id="370"/>
    </w:p>
    <w:p w14:paraId="41F4524E">
      <w:pPr>
        <w:spacing w:line="400" w:lineRule="exact"/>
        <w:ind w:firstLine="420" w:firstLineChars="200"/>
        <w:jc w:val="left"/>
        <w:rPr>
          <w:rFonts w:ascii="宋体"/>
          <w:szCs w:val="21"/>
          <w:highlight w:val="none"/>
        </w:rPr>
      </w:pPr>
      <w:r>
        <w:rPr>
          <w:rFonts w:ascii="宋体" w:hAnsi="宋体"/>
          <w:szCs w:val="21"/>
          <w:highlight w:val="none"/>
        </w:rPr>
        <w:t xml:space="preserve">4.2.1 </w:t>
      </w:r>
      <w:r>
        <w:rPr>
          <w:rFonts w:hint="eastAsia" w:ascii="宋体" w:hAnsi="宋体"/>
          <w:szCs w:val="21"/>
          <w:highlight w:val="none"/>
        </w:rPr>
        <w:t>按照本合同约定的质量管理目标，建立相应的质量管理规划，并报送委托人认定。由于受托人原因造成质量管理目标不能实现，受托人按照专用条件的约定承担违约责任。</w:t>
      </w:r>
    </w:p>
    <w:p w14:paraId="550662DC">
      <w:pPr>
        <w:spacing w:line="400" w:lineRule="exact"/>
        <w:ind w:firstLine="525" w:firstLineChars="250"/>
        <w:jc w:val="left"/>
        <w:rPr>
          <w:rFonts w:ascii="宋体"/>
          <w:szCs w:val="21"/>
          <w:highlight w:val="none"/>
          <w:u w:val="single"/>
        </w:rPr>
      </w:pPr>
      <w:r>
        <w:rPr>
          <w:rFonts w:hint="eastAsia" w:ascii="宋体" w:hAnsi="宋体"/>
          <w:szCs w:val="21"/>
          <w:highlight w:val="none"/>
        </w:rPr>
        <w:t>本工程质量管理目标：</w:t>
      </w:r>
    </w:p>
    <w:p w14:paraId="710B7AAB">
      <w:pPr>
        <w:spacing w:line="400" w:lineRule="exact"/>
        <w:ind w:firstLine="525" w:firstLineChars="250"/>
        <w:jc w:val="left"/>
        <w:rPr>
          <w:rFonts w:ascii="宋体"/>
          <w:szCs w:val="21"/>
          <w:highlight w:val="none"/>
        </w:rPr>
      </w:pPr>
      <w:r>
        <w:rPr>
          <w:rFonts w:ascii="宋体" w:hAnsi="宋体"/>
          <w:szCs w:val="21"/>
          <w:highlight w:val="none"/>
        </w:rPr>
        <w:t xml:space="preserve">4.2.2 </w:t>
      </w:r>
      <w:r>
        <w:rPr>
          <w:rFonts w:hint="eastAsia" w:ascii="宋体" w:hAnsi="宋体"/>
          <w:szCs w:val="21"/>
          <w:highlight w:val="none"/>
        </w:rPr>
        <w:t>受托人应参加设计交底会议，分析、确定质量控制重点、难点；安排其他参建方负责工程实施过程中的质量控制工作。</w:t>
      </w:r>
    </w:p>
    <w:p w14:paraId="606DEFC6">
      <w:pPr>
        <w:spacing w:line="400" w:lineRule="exact"/>
        <w:ind w:firstLine="525" w:firstLineChars="250"/>
        <w:jc w:val="left"/>
        <w:rPr>
          <w:rFonts w:ascii="宋体"/>
          <w:szCs w:val="21"/>
          <w:highlight w:val="none"/>
        </w:rPr>
      </w:pPr>
      <w:r>
        <w:rPr>
          <w:rFonts w:ascii="宋体" w:hAnsi="宋体"/>
          <w:szCs w:val="21"/>
          <w:highlight w:val="none"/>
        </w:rPr>
        <w:t xml:space="preserve">4.2.3 </w:t>
      </w:r>
      <w:r>
        <w:rPr>
          <w:rFonts w:hint="eastAsia" w:ascii="宋体" w:hAnsi="宋体"/>
          <w:szCs w:val="21"/>
          <w:highlight w:val="none"/>
        </w:rPr>
        <w:t>受托人在征得委托人认可后，有对工程上使用的材料的决定权。有权会同监理对施工质量进行检验。对不符合设计要求及国家质量标准的材料、构配件、设备，有权通知监理单位组织更换；对不符合规范和质量标准的工序、分部分项工程和不安全的施工作业，有权通知监理单位组织整改、返工。</w:t>
      </w:r>
    </w:p>
    <w:p w14:paraId="7494704B">
      <w:pPr>
        <w:spacing w:line="400" w:lineRule="exact"/>
        <w:ind w:firstLine="525" w:firstLineChars="250"/>
        <w:jc w:val="left"/>
        <w:rPr>
          <w:rFonts w:ascii="宋体"/>
          <w:szCs w:val="21"/>
          <w:highlight w:val="none"/>
        </w:rPr>
      </w:pPr>
      <w:r>
        <w:rPr>
          <w:rFonts w:ascii="宋体" w:hAnsi="宋体"/>
          <w:szCs w:val="21"/>
          <w:highlight w:val="none"/>
        </w:rPr>
        <w:t xml:space="preserve">4.2.4 </w:t>
      </w:r>
      <w:r>
        <w:rPr>
          <w:rFonts w:hint="eastAsia" w:ascii="宋体" w:hAnsi="宋体"/>
          <w:szCs w:val="21"/>
          <w:highlight w:val="none"/>
        </w:rPr>
        <w:t>受托人负责质量事故的调查；监理负责组织质量问题整改督促。</w:t>
      </w:r>
    </w:p>
    <w:p w14:paraId="7DA4E6A0">
      <w:pPr>
        <w:spacing w:line="400" w:lineRule="exact"/>
        <w:ind w:firstLine="525" w:firstLineChars="250"/>
        <w:jc w:val="left"/>
        <w:rPr>
          <w:rFonts w:ascii="宋体"/>
          <w:szCs w:val="21"/>
          <w:highlight w:val="none"/>
        </w:rPr>
      </w:pPr>
      <w:r>
        <w:rPr>
          <w:rFonts w:ascii="宋体" w:hAnsi="宋体"/>
          <w:szCs w:val="21"/>
          <w:highlight w:val="none"/>
        </w:rPr>
        <w:t xml:space="preserve">4.2.5 </w:t>
      </w:r>
      <w:r>
        <w:rPr>
          <w:rFonts w:hint="eastAsia" w:ascii="宋体" w:hAnsi="宋体"/>
          <w:szCs w:val="21"/>
          <w:highlight w:val="none"/>
        </w:rPr>
        <w:t>受托人组织定期或不定期的质量检测会和分析会，分析、通报施工质量情况，协调有关单位间的施工活动以消除影响质量的各种外部干扰因素。</w:t>
      </w:r>
    </w:p>
    <w:p w14:paraId="3A309238">
      <w:pPr>
        <w:spacing w:line="360" w:lineRule="auto"/>
        <w:ind w:firstLine="420" w:firstLineChars="200"/>
        <w:jc w:val="left"/>
        <w:rPr>
          <w:rFonts w:ascii="宋体"/>
          <w:szCs w:val="21"/>
          <w:highlight w:val="none"/>
        </w:rPr>
      </w:pPr>
      <w:bookmarkStart w:id="371" w:name="_Toc509302653"/>
      <w:r>
        <w:rPr>
          <w:rFonts w:ascii="宋体" w:hAnsi="宋体"/>
          <w:szCs w:val="21"/>
          <w:highlight w:val="none"/>
        </w:rPr>
        <w:t xml:space="preserve">4.3 </w:t>
      </w:r>
      <w:r>
        <w:rPr>
          <w:rFonts w:hint="eastAsia" w:ascii="宋体" w:hAnsi="宋体"/>
          <w:szCs w:val="21"/>
          <w:highlight w:val="none"/>
        </w:rPr>
        <w:t>安全、文明管理</w:t>
      </w:r>
      <w:bookmarkEnd w:id="371"/>
    </w:p>
    <w:p w14:paraId="74663F30">
      <w:pPr>
        <w:spacing w:line="400" w:lineRule="exact"/>
        <w:ind w:firstLine="420" w:firstLineChars="200"/>
        <w:jc w:val="left"/>
        <w:rPr>
          <w:rFonts w:ascii="宋体"/>
          <w:szCs w:val="21"/>
          <w:highlight w:val="none"/>
        </w:rPr>
      </w:pPr>
      <w:r>
        <w:rPr>
          <w:rFonts w:ascii="宋体" w:hAnsi="宋体"/>
          <w:szCs w:val="21"/>
          <w:highlight w:val="none"/>
        </w:rPr>
        <w:t xml:space="preserve">4.3.1 </w:t>
      </w:r>
      <w:r>
        <w:rPr>
          <w:rFonts w:hint="eastAsia" w:ascii="宋体" w:hAnsi="宋体"/>
          <w:szCs w:val="21"/>
          <w:highlight w:val="none"/>
        </w:rPr>
        <w:t>受托人应按照本合同约定的项目安全文明目标，编制安全文明管理规划及安全应急预案，并报送委托人审核。</w:t>
      </w:r>
    </w:p>
    <w:p w14:paraId="11931445">
      <w:pPr>
        <w:spacing w:line="400" w:lineRule="exact"/>
        <w:ind w:firstLine="525" w:firstLineChars="250"/>
        <w:jc w:val="left"/>
        <w:rPr>
          <w:rFonts w:hint="eastAsia" w:ascii="宋体" w:hAnsi="宋体"/>
          <w:szCs w:val="21"/>
          <w:highlight w:val="none"/>
          <w:u w:val="single"/>
        </w:rPr>
      </w:pPr>
      <w:r>
        <w:rPr>
          <w:rFonts w:hint="eastAsia" w:ascii="宋体" w:hAnsi="宋体"/>
          <w:szCs w:val="21"/>
          <w:highlight w:val="none"/>
        </w:rPr>
        <w:t>本工程安全文明管理目标：</w:t>
      </w:r>
    </w:p>
    <w:p w14:paraId="527D4A0C">
      <w:pPr>
        <w:spacing w:line="400" w:lineRule="exact"/>
        <w:ind w:firstLine="525" w:firstLineChars="250"/>
        <w:jc w:val="left"/>
        <w:rPr>
          <w:szCs w:val="21"/>
          <w:highlight w:val="none"/>
          <w:u w:val="single"/>
        </w:rPr>
      </w:pPr>
      <w:r>
        <w:rPr>
          <w:rFonts w:hint="eastAsia" w:hAnsi="宋体"/>
          <w:szCs w:val="21"/>
          <w:highlight w:val="none"/>
        </w:rPr>
        <w:t>由于受托人原因造成项目安全文明目标不能实现，受托人承担违约责任：</w:t>
      </w:r>
      <w:r>
        <w:rPr>
          <w:szCs w:val="21"/>
          <w:highlight w:val="none"/>
          <w:u w:val="single"/>
        </w:rPr>
        <w:t xml:space="preserve">      </w:t>
      </w:r>
      <w:r>
        <w:rPr>
          <w:rFonts w:hint="eastAsia" w:hAnsi="宋体"/>
          <w:szCs w:val="21"/>
          <w:highlight w:val="none"/>
        </w:rPr>
        <w:t>。</w:t>
      </w:r>
    </w:p>
    <w:p w14:paraId="2B8E83EE">
      <w:pPr>
        <w:spacing w:line="400" w:lineRule="exact"/>
        <w:ind w:firstLine="525" w:firstLineChars="250"/>
        <w:jc w:val="left"/>
        <w:rPr>
          <w:rFonts w:ascii="宋体"/>
          <w:szCs w:val="21"/>
          <w:highlight w:val="none"/>
        </w:rPr>
      </w:pPr>
      <w:r>
        <w:rPr>
          <w:rFonts w:ascii="宋体" w:hAnsi="宋体"/>
          <w:szCs w:val="21"/>
          <w:highlight w:val="none"/>
        </w:rPr>
        <w:t xml:space="preserve">4.3.2 </w:t>
      </w:r>
      <w:r>
        <w:rPr>
          <w:rFonts w:hint="eastAsia" w:ascii="宋体" w:hAnsi="宋体"/>
          <w:szCs w:val="21"/>
          <w:highlight w:val="none"/>
        </w:rPr>
        <w:t>受托人应根据项目施工安全目标的要求配置必要的资源，确保施工安全，保证目标实现。</w:t>
      </w:r>
    </w:p>
    <w:p w14:paraId="15680593">
      <w:pPr>
        <w:spacing w:line="400" w:lineRule="exact"/>
        <w:ind w:firstLine="525" w:firstLineChars="250"/>
        <w:jc w:val="left"/>
        <w:rPr>
          <w:rFonts w:hint="eastAsia" w:ascii="宋体" w:hAnsi="宋体"/>
          <w:szCs w:val="21"/>
          <w:highlight w:val="none"/>
        </w:rPr>
      </w:pPr>
      <w:r>
        <w:rPr>
          <w:rFonts w:ascii="宋体" w:hAnsi="宋体"/>
          <w:szCs w:val="21"/>
          <w:highlight w:val="none"/>
        </w:rPr>
        <w:t xml:space="preserve">4.3.3 </w:t>
      </w:r>
      <w:r>
        <w:rPr>
          <w:rFonts w:hint="eastAsia" w:ascii="宋体" w:hAnsi="宋体"/>
          <w:szCs w:val="21"/>
          <w:highlight w:val="none"/>
        </w:rPr>
        <w:t>受托人应当督促其他参建方落实安全保证体系，不定期协同委托人组织工地安全文明检查，会同委托人、其他参建方处理工地各种纠纷。</w:t>
      </w:r>
      <w:bookmarkStart w:id="372" w:name="_Toc509302654"/>
    </w:p>
    <w:p w14:paraId="52AA9026">
      <w:pPr>
        <w:spacing w:line="360" w:lineRule="auto"/>
        <w:ind w:firstLine="420" w:firstLineChars="200"/>
        <w:jc w:val="left"/>
        <w:rPr>
          <w:rFonts w:ascii="宋体"/>
          <w:szCs w:val="21"/>
          <w:highlight w:val="none"/>
        </w:rPr>
      </w:pPr>
      <w:r>
        <w:rPr>
          <w:rFonts w:ascii="宋体" w:hAnsi="宋体"/>
          <w:szCs w:val="21"/>
          <w:highlight w:val="none"/>
        </w:rPr>
        <w:t xml:space="preserve">4.4 </w:t>
      </w:r>
      <w:r>
        <w:rPr>
          <w:rFonts w:hint="eastAsia" w:ascii="宋体" w:hAnsi="宋体"/>
          <w:szCs w:val="21"/>
          <w:highlight w:val="none"/>
        </w:rPr>
        <w:t>投资管理</w:t>
      </w:r>
      <w:bookmarkEnd w:id="372"/>
    </w:p>
    <w:p w14:paraId="7468E109">
      <w:pPr>
        <w:spacing w:line="400" w:lineRule="exact"/>
        <w:ind w:firstLine="525" w:firstLineChars="250"/>
        <w:jc w:val="left"/>
        <w:rPr>
          <w:rFonts w:ascii="宋体"/>
          <w:szCs w:val="21"/>
          <w:highlight w:val="none"/>
        </w:rPr>
      </w:pPr>
      <w:r>
        <w:rPr>
          <w:rFonts w:ascii="宋体" w:hAnsi="宋体"/>
          <w:szCs w:val="21"/>
          <w:highlight w:val="none"/>
        </w:rPr>
        <w:t xml:space="preserve">4.4.1 </w:t>
      </w:r>
      <w:r>
        <w:rPr>
          <w:rFonts w:hint="eastAsia" w:ascii="宋体" w:hAnsi="宋体"/>
          <w:szCs w:val="21"/>
          <w:highlight w:val="none"/>
        </w:rPr>
        <w:t>受托人根据本合同约定的项目投资控制目标，建立相应的投资管理规划。</w:t>
      </w:r>
    </w:p>
    <w:p w14:paraId="768E114C">
      <w:pPr>
        <w:spacing w:line="400" w:lineRule="exact"/>
        <w:ind w:firstLine="525" w:firstLineChars="250"/>
        <w:jc w:val="left"/>
        <w:rPr>
          <w:rFonts w:hint="eastAsia" w:ascii="宋体" w:hAnsi="宋体"/>
          <w:szCs w:val="21"/>
          <w:highlight w:val="none"/>
        </w:rPr>
      </w:pPr>
      <w:r>
        <w:rPr>
          <w:rFonts w:hint="eastAsia" w:ascii="宋体" w:hAnsi="宋体"/>
          <w:szCs w:val="21"/>
          <w:highlight w:val="none"/>
        </w:rPr>
        <w:t>本工程投资管理目标：</w:t>
      </w:r>
      <w:r>
        <w:rPr>
          <w:rFonts w:ascii="宋体" w:hAnsi="宋体"/>
          <w:szCs w:val="21"/>
          <w:highlight w:val="none"/>
          <w:u w:val="single"/>
        </w:rPr>
        <w:t xml:space="preserve">                       </w:t>
      </w:r>
      <w:r>
        <w:rPr>
          <w:rFonts w:hint="eastAsia" w:ascii="宋体" w:hAnsi="宋体"/>
          <w:szCs w:val="21"/>
          <w:highlight w:val="none"/>
        </w:rPr>
        <w:t>。</w:t>
      </w:r>
    </w:p>
    <w:p w14:paraId="433A9AB4">
      <w:pPr>
        <w:spacing w:line="400" w:lineRule="exact"/>
        <w:ind w:firstLine="525" w:firstLineChars="250"/>
        <w:jc w:val="left"/>
        <w:rPr>
          <w:szCs w:val="21"/>
          <w:highlight w:val="none"/>
          <w:u w:val="single"/>
        </w:rPr>
      </w:pPr>
      <w:r>
        <w:rPr>
          <w:rFonts w:hint="eastAsia" w:hAnsi="宋体"/>
          <w:szCs w:val="21"/>
          <w:highlight w:val="none"/>
        </w:rPr>
        <w:t>由于受托人原因造成项目投资目标不能实现，受托人承担违约责任：</w:t>
      </w:r>
      <w:r>
        <w:rPr>
          <w:szCs w:val="21"/>
          <w:highlight w:val="none"/>
          <w:u w:val="single"/>
        </w:rPr>
        <w:t xml:space="preserve">           </w:t>
      </w:r>
      <w:r>
        <w:rPr>
          <w:rFonts w:hint="eastAsia" w:hAnsi="宋体"/>
          <w:szCs w:val="21"/>
          <w:highlight w:val="none"/>
        </w:rPr>
        <w:t>。</w:t>
      </w:r>
    </w:p>
    <w:p w14:paraId="3A4DBC3D">
      <w:pPr>
        <w:spacing w:line="400" w:lineRule="exact"/>
        <w:ind w:firstLine="525" w:firstLineChars="250"/>
        <w:jc w:val="left"/>
        <w:rPr>
          <w:rFonts w:ascii="宋体"/>
          <w:szCs w:val="21"/>
          <w:highlight w:val="none"/>
        </w:rPr>
      </w:pPr>
      <w:r>
        <w:rPr>
          <w:rFonts w:ascii="宋体" w:hAnsi="宋体"/>
          <w:szCs w:val="21"/>
          <w:highlight w:val="none"/>
        </w:rPr>
        <w:t>4.4.2</w:t>
      </w:r>
      <w:r>
        <w:rPr>
          <w:rFonts w:hint="eastAsia" w:ascii="宋体" w:hAnsi="宋体"/>
          <w:szCs w:val="21"/>
          <w:highlight w:val="none"/>
        </w:rPr>
        <w:t>在保证质量和进度的前提下，结合《全过程工程咨询服务实施规划》，编制投资控制计划，对可能发生的投资进行预测，通过合理措施实现对工程投资的有效控制。</w:t>
      </w:r>
    </w:p>
    <w:p w14:paraId="533B49A0">
      <w:pPr>
        <w:spacing w:line="400" w:lineRule="exact"/>
        <w:ind w:firstLine="525" w:firstLineChars="250"/>
        <w:jc w:val="left"/>
        <w:rPr>
          <w:rFonts w:ascii="宋体"/>
          <w:szCs w:val="21"/>
          <w:highlight w:val="none"/>
        </w:rPr>
      </w:pPr>
      <w:r>
        <w:rPr>
          <w:rFonts w:ascii="宋体" w:hAnsi="宋体"/>
          <w:szCs w:val="21"/>
          <w:highlight w:val="none"/>
        </w:rPr>
        <w:t xml:space="preserve">4.4.3 </w:t>
      </w:r>
      <w:r>
        <w:rPr>
          <w:rFonts w:hint="eastAsia" w:ascii="宋体" w:hAnsi="宋体"/>
          <w:szCs w:val="21"/>
          <w:highlight w:val="none"/>
        </w:rPr>
        <w:t>受托人负责编制年度、季度、月度资金使用计划，报送委托人审批。按照委托人对资金使用计划的审批意见，修正资金使用计划。根据委托人认可的资金使用计划，进行投资计划值与实际值的比较，控制项目投资。</w:t>
      </w:r>
    </w:p>
    <w:p w14:paraId="24845452">
      <w:pPr>
        <w:spacing w:line="400" w:lineRule="exact"/>
        <w:ind w:firstLine="525" w:firstLineChars="250"/>
        <w:jc w:val="left"/>
        <w:rPr>
          <w:rFonts w:ascii="宋体"/>
          <w:szCs w:val="21"/>
          <w:highlight w:val="none"/>
        </w:rPr>
      </w:pPr>
      <w:r>
        <w:rPr>
          <w:rFonts w:ascii="宋体" w:hAnsi="宋体"/>
          <w:szCs w:val="21"/>
          <w:highlight w:val="none"/>
        </w:rPr>
        <w:t xml:space="preserve">4.4.4 </w:t>
      </w:r>
      <w:r>
        <w:rPr>
          <w:rFonts w:hint="eastAsia" w:ascii="宋体" w:hAnsi="宋体"/>
          <w:szCs w:val="21"/>
          <w:highlight w:val="none"/>
        </w:rPr>
        <w:t>受托人负责在招投标、合同谈判、合同拟定过程中，对建设资金有关内容进行审核、分析。</w:t>
      </w:r>
    </w:p>
    <w:p w14:paraId="03A3956D">
      <w:pPr>
        <w:spacing w:line="400" w:lineRule="exact"/>
        <w:ind w:firstLine="420" w:firstLineChars="200"/>
        <w:jc w:val="left"/>
        <w:rPr>
          <w:rFonts w:ascii="宋体"/>
          <w:szCs w:val="21"/>
          <w:highlight w:val="none"/>
        </w:rPr>
      </w:pPr>
      <w:r>
        <w:rPr>
          <w:rFonts w:ascii="宋体" w:hAnsi="宋体"/>
          <w:szCs w:val="21"/>
          <w:highlight w:val="none"/>
        </w:rPr>
        <w:t xml:space="preserve">4.4.5 </w:t>
      </w:r>
      <w:r>
        <w:rPr>
          <w:rFonts w:hint="eastAsia" w:ascii="宋体" w:hAnsi="宋体"/>
          <w:szCs w:val="21"/>
          <w:highlight w:val="none"/>
        </w:rPr>
        <w:t>受托人负责审核其他参建方合同与建设资金有关的条款。</w:t>
      </w:r>
    </w:p>
    <w:p w14:paraId="35A81C96">
      <w:pPr>
        <w:spacing w:line="360" w:lineRule="auto"/>
        <w:ind w:firstLine="420" w:firstLineChars="200"/>
        <w:jc w:val="left"/>
        <w:rPr>
          <w:rFonts w:ascii="宋体"/>
          <w:szCs w:val="21"/>
          <w:highlight w:val="none"/>
        </w:rPr>
      </w:pPr>
      <w:bookmarkStart w:id="373" w:name="_Toc509302656"/>
      <w:r>
        <w:rPr>
          <w:rFonts w:ascii="宋体" w:hAnsi="宋体"/>
          <w:szCs w:val="21"/>
          <w:highlight w:val="none"/>
        </w:rPr>
        <w:t xml:space="preserve">4.5 </w:t>
      </w:r>
      <w:r>
        <w:rPr>
          <w:rFonts w:hint="eastAsia" w:ascii="宋体" w:hAnsi="宋体"/>
          <w:szCs w:val="21"/>
          <w:highlight w:val="none"/>
        </w:rPr>
        <w:t>竣工验收</w:t>
      </w:r>
      <w:bookmarkEnd w:id="373"/>
    </w:p>
    <w:p w14:paraId="0D5D83DB">
      <w:pPr>
        <w:spacing w:line="400" w:lineRule="exact"/>
        <w:ind w:firstLine="420" w:firstLineChars="200"/>
        <w:jc w:val="left"/>
        <w:rPr>
          <w:rFonts w:ascii="宋体"/>
          <w:szCs w:val="21"/>
          <w:highlight w:val="none"/>
        </w:rPr>
      </w:pPr>
      <w:r>
        <w:rPr>
          <w:rFonts w:ascii="宋体" w:hAnsi="宋体"/>
          <w:szCs w:val="21"/>
          <w:highlight w:val="none"/>
        </w:rPr>
        <w:t xml:space="preserve">4.5.1 </w:t>
      </w:r>
      <w:r>
        <w:rPr>
          <w:rFonts w:hint="eastAsia" w:ascii="宋体" w:hAnsi="宋体"/>
          <w:szCs w:val="21"/>
          <w:highlight w:val="none"/>
        </w:rPr>
        <w:t>委托人有权参与竣工验收，对受托人的工程竣工结算和财务决算进行监督，有权委托第三方对受托人的结算、付款及其他工程管理情况进行抽查和审计。</w:t>
      </w:r>
    </w:p>
    <w:p w14:paraId="57982879">
      <w:pPr>
        <w:spacing w:line="400" w:lineRule="exact"/>
        <w:ind w:firstLine="525" w:firstLineChars="250"/>
        <w:jc w:val="left"/>
        <w:rPr>
          <w:rFonts w:ascii="宋体"/>
          <w:szCs w:val="21"/>
          <w:highlight w:val="none"/>
        </w:rPr>
      </w:pPr>
      <w:r>
        <w:rPr>
          <w:rFonts w:ascii="宋体" w:hAnsi="宋体"/>
          <w:szCs w:val="21"/>
          <w:highlight w:val="none"/>
        </w:rPr>
        <w:t xml:space="preserve">4.5.2 </w:t>
      </w:r>
      <w:r>
        <w:rPr>
          <w:rFonts w:hint="eastAsia" w:ascii="宋体" w:hAnsi="宋体"/>
          <w:szCs w:val="21"/>
          <w:highlight w:val="none"/>
        </w:rPr>
        <w:t>委托人应在项目建成、竣工验收合格后，在规定时间内与受托人办理项目移交手续。</w:t>
      </w:r>
    </w:p>
    <w:p w14:paraId="0355817A">
      <w:pPr>
        <w:spacing w:line="400" w:lineRule="exact"/>
        <w:ind w:firstLine="525" w:firstLineChars="250"/>
        <w:jc w:val="left"/>
        <w:rPr>
          <w:rFonts w:ascii="宋体"/>
          <w:szCs w:val="21"/>
          <w:highlight w:val="none"/>
        </w:rPr>
      </w:pPr>
      <w:r>
        <w:rPr>
          <w:rFonts w:ascii="宋体" w:hAnsi="宋体"/>
          <w:szCs w:val="21"/>
          <w:highlight w:val="none"/>
        </w:rPr>
        <w:t xml:space="preserve">4.5.3 </w:t>
      </w:r>
      <w:r>
        <w:rPr>
          <w:rFonts w:hint="eastAsia" w:ascii="宋体" w:hAnsi="宋体"/>
          <w:szCs w:val="21"/>
          <w:highlight w:val="none"/>
        </w:rPr>
        <w:t>该工程竣工结算后</w:t>
      </w:r>
      <w:r>
        <w:rPr>
          <w:rFonts w:ascii="宋体" w:hAnsi="宋体"/>
          <w:szCs w:val="21"/>
          <w:highlight w:val="none"/>
        </w:rPr>
        <w:t>28</w:t>
      </w:r>
      <w:r>
        <w:rPr>
          <w:rFonts w:hint="eastAsia" w:ascii="宋体" w:hAnsi="宋体"/>
          <w:szCs w:val="21"/>
          <w:highlight w:val="none"/>
        </w:rPr>
        <w:t>个工作日内，如有履约保证金，委托人应退还受托人提交的全部履约保证金。</w:t>
      </w:r>
    </w:p>
    <w:p w14:paraId="0254DECB">
      <w:pPr>
        <w:spacing w:line="400" w:lineRule="exact"/>
        <w:ind w:firstLine="525" w:firstLineChars="250"/>
        <w:jc w:val="left"/>
        <w:rPr>
          <w:rFonts w:ascii="宋体"/>
          <w:szCs w:val="21"/>
          <w:highlight w:val="none"/>
        </w:rPr>
      </w:pPr>
      <w:r>
        <w:rPr>
          <w:rFonts w:ascii="宋体" w:hAnsi="宋体"/>
          <w:szCs w:val="21"/>
          <w:highlight w:val="none"/>
        </w:rPr>
        <w:t xml:space="preserve">4.5.4 </w:t>
      </w:r>
      <w:r>
        <w:rPr>
          <w:rFonts w:hint="eastAsia" w:ascii="宋体" w:hAnsi="宋体"/>
          <w:szCs w:val="21"/>
          <w:highlight w:val="none"/>
        </w:rPr>
        <w:t>受托人有权签认工程实际竣工日期，提前或超过施工合同规定的竣工期限。</w:t>
      </w:r>
    </w:p>
    <w:p w14:paraId="0CF3D170">
      <w:pPr>
        <w:spacing w:line="400" w:lineRule="exact"/>
        <w:ind w:firstLine="525" w:firstLineChars="250"/>
        <w:jc w:val="left"/>
        <w:rPr>
          <w:rFonts w:ascii="宋体"/>
          <w:szCs w:val="21"/>
          <w:highlight w:val="none"/>
        </w:rPr>
      </w:pPr>
      <w:r>
        <w:rPr>
          <w:rFonts w:ascii="宋体" w:hAnsi="宋体"/>
          <w:szCs w:val="21"/>
          <w:highlight w:val="none"/>
        </w:rPr>
        <w:t xml:space="preserve">4.5.5 </w:t>
      </w:r>
      <w:r>
        <w:rPr>
          <w:rFonts w:hint="eastAsia" w:ascii="宋体" w:hAnsi="宋体"/>
          <w:szCs w:val="21"/>
          <w:highlight w:val="none"/>
        </w:rPr>
        <w:t>受托人会同委托人及时组织竣工验收，并将验收合格的项目在规定时间内协助办理权属登记，并向委托人办理固定资产移交手续。</w:t>
      </w:r>
    </w:p>
    <w:p w14:paraId="00B6784E">
      <w:pPr>
        <w:spacing w:line="360" w:lineRule="auto"/>
        <w:ind w:firstLine="420" w:firstLineChars="200"/>
        <w:jc w:val="left"/>
        <w:rPr>
          <w:rFonts w:ascii="宋体"/>
          <w:szCs w:val="21"/>
          <w:highlight w:val="none"/>
        </w:rPr>
      </w:pPr>
      <w:bookmarkStart w:id="374" w:name="_Toc509302657"/>
      <w:r>
        <w:rPr>
          <w:rFonts w:ascii="宋体" w:hAnsi="宋体"/>
          <w:szCs w:val="21"/>
          <w:highlight w:val="none"/>
        </w:rPr>
        <w:t xml:space="preserve">4.6 </w:t>
      </w:r>
      <w:r>
        <w:rPr>
          <w:rFonts w:hint="eastAsia" w:ascii="宋体" w:hAnsi="宋体"/>
          <w:szCs w:val="21"/>
          <w:highlight w:val="none"/>
        </w:rPr>
        <w:t>突发事件处理</w:t>
      </w:r>
      <w:bookmarkEnd w:id="374"/>
    </w:p>
    <w:p w14:paraId="7331FECC">
      <w:pPr>
        <w:spacing w:line="400" w:lineRule="exact"/>
        <w:ind w:firstLine="525" w:firstLineChars="250"/>
        <w:jc w:val="left"/>
        <w:rPr>
          <w:rFonts w:ascii="宋体"/>
          <w:szCs w:val="21"/>
          <w:highlight w:val="none"/>
        </w:rPr>
      </w:pPr>
      <w:r>
        <w:rPr>
          <w:rFonts w:hint="eastAsia" w:ascii="宋体" w:hAnsi="宋体"/>
          <w:szCs w:val="21"/>
          <w:highlight w:val="none"/>
        </w:rPr>
        <w:t>受托人在分析工程具体情况的基础上，编制各类突发事件及不可抗力事件的处理预案，积极应对建设过程中发生的各类突发时间及不可抗力事件，并及时通知委托人妥善处理。由于不可抗力造成的工期延期，按照第</w:t>
      </w:r>
      <w:r>
        <w:rPr>
          <w:rFonts w:ascii="宋体" w:hAnsi="宋体"/>
          <w:szCs w:val="21"/>
          <w:highlight w:val="none"/>
        </w:rPr>
        <w:t>10.1.4</w:t>
      </w:r>
      <w:r>
        <w:rPr>
          <w:rFonts w:hint="eastAsia" w:ascii="宋体" w:hAnsi="宋体"/>
          <w:szCs w:val="21"/>
          <w:highlight w:val="none"/>
        </w:rPr>
        <w:t>款“工期延期”处理。</w:t>
      </w:r>
    </w:p>
    <w:p w14:paraId="6008CB14">
      <w:pPr>
        <w:spacing w:line="360" w:lineRule="auto"/>
        <w:ind w:firstLine="420" w:firstLineChars="200"/>
        <w:jc w:val="left"/>
        <w:rPr>
          <w:rFonts w:ascii="宋体"/>
          <w:szCs w:val="21"/>
          <w:highlight w:val="none"/>
        </w:rPr>
      </w:pPr>
      <w:bookmarkStart w:id="375" w:name="_Toc509302658"/>
      <w:r>
        <w:rPr>
          <w:rFonts w:ascii="宋体" w:hAnsi="宋体"/>
          <w:szCs w:val="21"/>
          <w:highlight w:val="none"/>
        </w:rPr>
        <w:t xml:space="preserve">4.7 </w:t>
      </w:r>
      <w:r>
        <w:rPr>
          <w:rFonts w:hint="eastAsia" w:ascii="宋体" w:hAnsi="宋体"/>
          <w:szCs w:val="21"/>
          <w:highlight w:val="none"/>
        </w:rPr>
        <w:t>资金拨付管理</w:t>
      </w:r>
      <w:bookmarkEnd w:id="375"/>
    </w:p>
    <w:p w14:paraId="4C639D33">
      <w:pPr>
        <w:spacing w:line="400" w:lineRule="exact"/>
        <w:ind w:firstLine="420" w:firstLineChars="200"/>
        <w:jc w:val="left"/>
        <w:rPr>
          <w:rFonts w:ascii="宋体"/>
          <w:szCs w:val="21"/>
          <w:highlight w:val="none"/>
        </w:rPr>
      </w:pPr>
      <w:r>
        <w:rPr>
          <w:rFonts w:ascii="宋体" w:hAnsi="宋体"/>
          <w:szCs w:val="21"/>
          <w:highlight w:val="none"/>
        </w:rPr>
        <w:t xml:space="preserve">4.7.1 </w:t>
      </w:r>
      <w:r>
        <w:rPr>
          <w:rFonts w:hint="eastAsia" w:ascii="宋体" w:hAnsi="宋体"/>
          <w:szCs w:val="21"/>
          <w:highlight w:val="none"/>
        </w:rPr>
        <w:t>受托人在合同签订后</w:t>
      </w:r>
      <w:r>
        <w:rPr>
          <w:rFonts w:ascii="宋体" w:hAnsi="宋体"/>
          <w:szCs w:val="21"/>
          <w:highlight w:val="none"/>
        </w:rPr>
        <w:t>14</w:t>
      </w:r>
      <w:r>
        <w:rPr>
          <w:rFonts w:hint="eastAsia" w:ascii="宋体" w:hAnsi="宋体"/>
          <w:szCs w:val="21"/>
          <w:highlight w:val="none"/>
        </w:rPr>
        <w:t>天内，提交整个项目的资金使用计划。委托人结合项目具体情况于</w:t>
      </w:r>
      <w:r>
        <w:rPr>
          <w:rFonts w:ascii="宋体" w:hAnsi="宋体"/>
          <w:szCs w:val="21"/>
          <w:highlight w:val="none"/>
        </w:rPr>
        <w:t>7</w:t>
      </w:r>
      <w:r>
        <w:rPr>
          <w:rFonts w:hint="eastAsia" w:ascii="宋体" w:hAnsi="宋体"/>
          <w:szCs w:val="21"/>
          <w:highlight w:val="none"/>
        </w:rPr>
        <w:t>日内对项目资金使用计划进行批复。受托人按照委托人批复，对资金使用计划进行修正，并于批复后</w:t>
      </w:r>
      <w:r>
        <w:rPr>
          <w:rFonts w:ascii="宋体" w:hAnsi="宋体"/>
          <w:szCs w:val="21"/>
          <w:highlight w:val="none"/>
        </w:rPr>
        <w:t>7</w:t>
      </w:r>
      <w:r>
        <w:rPr>
          <w:rFonts w:hint="eastAsia" w:ascii="宋体" w:hAnsi="宋体"/>
          <w:szCs w:val="21"/>
          <w:highlight w:val="none"/>
        </w:rPr>
        <w:t>日内，递交符合委托人要求的资金使用计划。</w:t>
      </w:r>
    </w:p>
    <w:p w14:paraId="24928CB0">
      <w:pPr>
        <w:spacing w:line="400" w:lineRule="exact"/>
        <w:ind w:firstLine="525" w:firstLineChars="250"/>
        <w:jc w:val="left"/>
        <w:rPr>
          <w:rFonts w:ascii="宋体"/>
          <w:szCs w:val="21"/>
          <w:highlight w:val="none"/>
        </w:rPr>
      </w:pPr>
      <w:r>
        <w:rPr>
          <w:rFonts w:ascii="宋体" w:hAnsi="宋体"/>
          <w:szCs w:val="21"/>
          <w:highlight w:val="none"/>
        </w:rPr>
        <w:t xml:space="preserve">4.7.2 </w:t>
      </w:r>
      <w:r>
        <w:rPr>
          <w:rFonts w:hint="eastAsia" w:ascii="宋体" w:hAnsi="宋体"/>
          <w:szCs w:val="21"/>
          <w:highlight w:val="none"/>
        </w:rPr>
        <w:t>受托人于其他参建方提交付款凭证后</w:t>
      </w:r>
      <w:r>
        <w:rPr>
          <w:rFonts w:ascii="宋体" w:hAnsi="宋体"/>
          <w:szCs w:val="21"/>
          <w:highlight w:val="none"/>
        </w:rPr>
        <w:t>7</w:t>
      </w:r>
      <w:r>
        <w:rPr>
          <w:rFonts w:hint="eastAsia" w:ascii="宋体" w:hAnsi="宋体"/>
          <w:szCs w:val="21"/>
          <w:highlight w:val="none"/>
        </w:rPr>
        <w:t>日内，对其进行审批，将审批结果递交委托人，由委托人审批后进行支付。</w:t>
      </w:r>
    </w:p>
    <w:p w14:paraId="252C09A4">
      <w:pPr>
        <w:spacing w:line="400" w:lineRule="exact"/>
        <w:ind w:firstLine="420" w:firstLineChars="200"/>
        <w:jc w:val="left"/>
        <w:rPr>
          <w:rFonts w:ascii="宋体"/>
          <w:szCs w:val="21"/>
          <w:highlight w:val="none"/>
        </w:rPr>
      </w:pPr>
      <w:r>
        <w:rPr>
          <w:rFonts w:ascii="宋体" w:hAnsi="宋体"/>
          <w:szCs w:val="21"/>
          <w:highlight w:val="none"/>
        </w:rPr>
        <w:t xml:space="preserve">4.7.3 </w:t>
      </w:r>
      <w:r>
        <w:rPr>
          <w:rFonts w:hint="eastAsia" w:ascii="宋体" w:hAnsi="宋体"/>
          <w:szCs w:val="21"/>
          <w:highlight w:val="none"/>
        </w:rPr>
        <w:t>受托人根据委托人的要求，配合审计部门完成对本项目的审计。</w:t>
      </w:r>
    </w:p>
    <w:p w14:paraId="257A99EB">
      <w:pPr>
        <w:spacing w:line="360" w:lineRule="auto"/>
        <w:ind w:firstLine="420" w:firstLineChars="200"/>
        <w:jc w:val="left"/>
        <w:rPr>
          <w:rFonts w:ascii="宋体"/>
          <w:szCs w:val="21"/>
          <w:highlight w:val="none"/>
        </w:rPr>
      </w:pPr>
      <w:bookmarkStart w:id="376" w:name="_Toc509302659"/>
      <w:r>
        <w:rPr>
          <w:rFonts w:ascii="宋体" w:hAnsi="宋体"/>
          <w:szCs w:val="21"/>
          <w:highlight w:val="none"/>
        </w:rPr>
        <w:t xml:space="preserve">4.8 </w:t>
      </w:r>
      <w:r>
        <w:rPr>
          <w:rFonts w:hint="eastAsia" w:ascii="宋体" w:hAnsi="宋体"/>
          <w:szCs w:val="21"/>
          <w:highlight w:val="none"/>
        </w:rPr>
        <w:t>变更与索赔管理</w:t>
      </w:r>
      <w:bookmarkEnd w:id="376"/>
    </w:p>
    <w:p w14:paraId="6B6F8ED5">
      <w:pPr>
        <w:spacing w:line="400" w:lineRule="exact"/>
        <w:ind w:firstLine="420" w:firstLineChars="200"/>
        <w:jc w:val="left"/>
        <w:rPr>
          <w:rFonts w:ascii="宋体"/>
          <w:szCs w:val="21"/>
          <w:highlight w:val="none"/>
        </w:rPr>
      </w:pPr>
      <w:r>
        <w:rPr>
          <w:rFonts w:ascii="宋体" w:hAnsi="宋体"/>
          <w:szCs w:val="21"/>
          <w:highlight w:val="none"/>
        </w:rPr>
        <w:t xml:space="preserve">4.8.1 </w:t>
      </w:r>
      <w:r>
        <w:rPr>
          <w:rFonts w:hint="eastAsia" w:ascii="宋体" w:hAnsi="宋体"/>
          <w:szCs w:val="21"/>
          <w:highlight w:val="none"/>
        </w:rPr>
        <w:t>受托人在委托人授权下，可以根据工程的实际进展情况，签发变更指令、评估变更。在委托方授权下可进行变更的范围约定为：</w:t>
      </w:r>
      <w:r>
        <w:rPr>
          <w:rFonts w:ascii="宋体" w:hAnsi="宋体"/>
          <w:szCs w:val="21"/>
          <w:highlight w:val="none"/>
          <w:u w:val="single"/>
        </w:rPr>
        <w:t xml:space="preserve">               </w:t>
      </w:r>
      <w:r>
        <w:rPr>
          <w:rFonts w:hint="eastAsia" w:ascii="宋体" w:hAnsi="宋体"/>
          <w:szCs w:val="21"/>
          <w:highlight w:val="none"/>
        </w:rPr>
        <w:t>。</w:t>
      </w:r>
    </w:p>
    <w:p w14:paraId="31C75FA4">
      <w:pPr>
        <w:spacing w:line="400" w:lineRule="exact"/>
        <w:ind w:firstLine="525" w:firstLineChars="250"/>
        <w:jc w:val="left"/>
        <w:rPr>
          <w:rFonts w:ascii="宋体"/>
          <w:szCs w:val="21"/>
          <w:highlight w:val="none"/>
        </w:rPr>
      </w:pPr>
      <w:r>
        <w:rPr>
          <w:rFonts w:ascii="宋体" w:hAnsi="宋体"/>
          <w:szCs w:val="21"/>
          <w:highlight w:val="none"/>
        </w:rPr>
        <w:t xml:space="preserve">4.8.2 </w:t>
      </w:r>
      <w:r>
        <w:rPr>
          <w:rFonts w:hint="eastAsia" w:ascii="宋体" w:hAnsi="宋体"/>
          <w:szCs w:val="21"/>
          <w:highlight w:val="none"/>
        </w:rPr>
        <w:t>受托人不得在实施过程中利用洽商或者补签其他协议随意变更建设规模、建设标准、建设内容。超出初步设计批复范围的变更，由设计或施工承包商提出，经受托人与相关方协调后，由受托人报委托人核准。</w:t>
      </w:r>
    </w:p>
    <w:p w14:paraId="48ACDD89">
      <w:pPr>
        <w:spacing w:line="400" w:lineRule="exact"/>
        <w:ind w:firstLine="525" w:firstLineChars="250"/>
        <w:jc w:val="left"/>
        <w:rPr>
          <w:rFonts w:ascii="宋体"/>
          <w:szCs w:val="21"/>
          <w:highlight w:val="none"/>
        </w:rPr>
      </w:pPr>
      <w:r>
        <w:rPr>
          <w:rFonts w:ascii="宋体" w:hAnsi="宋体"/>
          <w:szCs w:val="21"/>
          <w:highlight w:val="none"/>
        </w:rPr>
        <w:t xml:space="preserve">4.8.3 </w:t>
      </w:r>
      <w:r>
        <w:rPr>
          <w:rFonts w:hint="eastAsia" w:ascii="宋体" w:hAnsi="宋体"/>
          <w:szCs w:val="21"/>
          <w:highlight w:val="none"/>
        </w:rPr>
        <w:t>受托人在全过程工程咨询服务工作中提出的优化变更，使委托人节约了工程项目投资，委托人按专用条件中的约定给予经济奖励。</w:t>
      </w:r>
    </w:p>
    <w:p w14:paraId="2ABBAB22">
      <w:pPr>
        <w:spacing w:line="400" w:lineRule="exact"/>
        <w:ind w:firstLine="525" w:firstLineChars="250"/>
        <w:jc w:val="left"/>
        <w:rPr>
          <w:rFonts w:hint="eastAsia" w:ascii="宋体" w:hAnsi="宋体"/>
          <w:szCs w:val="21"/>
          <w:highlight w:val="none"/>
        </w:rPr>
      </w:pPr>
      <w:r>
        <w:rPr>
          <w:rFonts w:ascii="宋体" w:hAnsi="宋体"/>
          <w:szCs w:val="21"/>
          <w:highlight w:val="none"/>
        </w:rPr>
        <w:t xml:space="preserve">4.8.4 </w:t>
      </w:r>
      <w:r>
        <w:rPr>
          <w:rFonts w:hint="eastAsia" w:ascii="宋体" w:hAnsi="宋体"/>
          <w:szCs w:val="21"/>
          <w:highlight w:val="none"/>
        </w:rPr>
        <w:t>合同双方有权就对方原因造成的损失提出索赔，如果该索赔要求未能成立，则索赔提出方应补偿由该索赔给他方造成的各项费用支出和损失。</w:t>
      </w:r>
    </w:p>
    <w:p w14:paraId="7CA1136F">
      <w:pPr>
        <w:spacing w:line="400" w:lineRule="exact"/>
        <w:ind w:firstLine="525" w:firstLineChars="250"/>
        <w:jc w:val="left"/>
        <w:rPr>
          <w:rFonts w:hint="eastAsia" w:ascii="宋体" w:hAnsi="宋体"/>
          <w:szCs w:val="21"/>
          <w:highlight w:val="none"/>
        </w:rPr>
      </w:pPr>
    </w:p>
    <w:p w14:paraId="4A739298">
      <w:pPr>
        <w:spacing w:line="400" w:lineRule="exact"/>
        <w:ind w:firstLine="525" w:firstLineChars="250"/>
        <w:jc w:val="left"/>
        <w:rPr>
          <w:rFonts w:hint="eastAsia" w:ascii="宋体" w:hAnsi="宋体"/>
          <w:szCs w:val="21"/>
          <w:highlight w:val="none"/>
        </w:rPr>
      </w:pPr>
    </w:p>
    <w:p w14:paraId="4ECBA211">
      <w:pPr>
        <w:spacing w:line="400" w:lineRule="exact"/>
        <w:ind w:firstLine="525" w:firstLineChars="250"/>
        <w:jc w:val="left"/>
        <w:rPr>
          <w:rFonts w:hint="eastAsia" w:ascii="宋体" w:hAnsi="宋体"/>
          <w:szCs w:val="21"/>
          <w:highlight w:val="none"/>
        </w:rPr>
      </w:pPr>
    </w:p>
    <w:p w14:paraId="75153FA3">
      <w:pPr>
        <w:spacing w:line="360" w:lineRule="auto"/>
        <w:jc w:val="left"/>
        <w:rPr>
          <w:rFonts w:ascii="宋体"/>
          <w:szCs w:val="21"/>
          <w:highlight w:val="none"/>
        </w:rPr>
      </w:pPr>
      <w:r>
        <w:rPr>
          <w:rFonts w:ascii="宋体" w:hAnsi="宋体" w:cs="宋体"/>
          <w:b/>
          <w:szCs w:val="21"/>
          <w:highlight w:val="none"/>
        </w:rPr>
        <w:t xml:space="preserve">5. </w:t>
      </w:r>
      <w:r>
        <w:rPr>
          <w:rFonts w:hint="eastAsia" w:ascii="宋体" w:hAnsi="宋体" w:cs="宋体"/>
          <w:b/>
          <w:szCs w:val="21"/>
          <w:highlight w:val="none"/>
        </w:rPr>
        <w:t>项目管理服务费用支付</w:t>
      </w:r>
    </w:p>
    <w:p w14:paraId="4B374BC5">
      <w:pPr>
        <w:spacing w:line="360" w:lineRule="auto"/>
        <w:jc w:val="left"/>
        <w:outlineLvl w:val="3"/>
        <w:rPr>
          <w:rFonts w:ascii="宋体" w:cs="宋体"/>
          <w:b/>
          <w:szCs w:val="21"/>
          <w:highlight w:val="none"/>
        </w:rPr>
      </w:pPr>
    </w:p>
    <w:tbl>
      <w:tblPr>
        <w:tblStyle w:val="34"/>
        <w:tblpPr w:topFromText="180" w:bottomFromText="180" w:vertAnchor="text" w:horzAnchor="margin" w:tblpXSpec="center" w:tblpY="-40"/>
        <w:tblOverlap w:val="never"/>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7036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2362B2A3">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tcPr>
          <w:p w14:paraId="1C6BEA8A">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73116302">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tcPr>
          <w:p w14:paraId="7D102A60">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229D2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7A8D4BD7">
            <w:pPr>
              <w:snapToGrid w:val="0"/>
              <w:spacing w:line="360" w:lineRule="auto"/>
              <w:jc w:val="left"/>
              <w:rPr>
                <w:rFonts w:ascii="宋体"/>
                <w:szCs w:val="21"/>
                <w:highlight w:val="none"/>
              </w:rPr>
            </w:pPr>
          </w:p>
        </w:tc>
        <w:tc>
          <w:tcPr>
            <w:tcW w:w="2127" w:type="dxa"/>
          </w:tcPr>
          <w:p w14:paraId="19A35DD6">
            <w:pPr>
              <w:snapToGrid w:val="0"/>
              <w:spacing w:line="360" w:lineRule="auto"/>
              <w:jc w:val="left"/>
              <w:rPr>
                <w:rFonts w:ascii="宋体"/>
                <w:szCs w:val="21"/>
                <w:highlight w:val="none"/>
              </w:rPr>
            </w:pPr>
          </w:p>
        </w:tc>
        <w:tc>
          <w:tcPr>
            <w:tcW w:w="1559" w:type="dxa"/>
          </w:tcPr>
          <w:p w14:paraId="2B538F6B">
            <w:pPr>
              <w:snapToGrid w:val="0"/>
              <w:spacing w:line="360" w:lineRule="auto"/>
              <w:jc w:val="left"/>
              <w:rPr>
                <w:rFonts w:ascii="宋体"/>
                <w:szCs w:val="21"/>
                <w:highlight w:val="none"/>
              </w:rPr>
            </w:pPr>
          </w:p>
        </w:tc>
        <w:tc>
          <w:tcPr>
            <w:tcW w:w="2835" w:type="dxa"/>
          </w:tcPr>
          <w:p w14:paraId="3FB1C9F2">
            <w:pPr>
              <w:snapToGrid w:val="0"/>
              <w:spacing w:line="360" w:lineRule="auto"/>
              <w:jc w:val="left"/>
              <w:rPr>
                <w:rFonts w:ascii="宋体"/>
                <w:szCs w:val="21"/>
                <w:highlight w:val="none"/>
              </w:rPr>
            </w:pPr>
          </w:p>
        </w:tc>
      </w:tr>
      <w:tr w14:paraId="791B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2D7C5F1">
            <w:pPr>
              <w:snapToGrid w:val="0"/>
              <w:spacing w:line="360" w:lineRule="auto"/>
              <w:jc w:val="left"/>
              <w:rPr>
                <w:rFonts w:ascii="宋体"/>
                <w:szCs w:val="21"/>
                <w:highlight w:val="none"/>
              </w:rPr>
            </w:pPr>
          </w:p>
        </w:tc>
        <w:tc>
          <w:tcPr>
            <w:tcW w:w="2127" w:type="dxa"/>
          </w:tcPr>
          <w:p w14:paraId="2AD16852">
            <w:pPr>
              <w:snapToGrid w:val="0"/>
              <w:spacing w:line="360" w:lineRule="auto"/>
              <w:ind w:firstLine="315" w:firstLineChars="150"/>
              <w:jc w:val="left"/>
              <w:rPr>
                <w:rFonts w:ascii="宋体"/>
                <w:szCs w:val="21"/>
                <w:highlight w:val="none"/>
              </w:rPr>
            </w:pPr>
          </w:p>
        </w:tc>
        <w:tc>
          <w:tcPr>
            <w:tcW w:w="1559" w:type="dxa"/>
          </w:tcPr>
          <w:p w14:paraId="3E9BED5B">
            <w:pPr>
              <w:snapToGrid w:val="0"/>
              <w:spacing w:line="360" w:lineRule="auto"/>
              <w:jc w:val="left"/>
              <w:rPr>
                <w:rFonts w:ascii="宋体"/>
                <w:szCs w:val="21"/>
                <w:highlight w:val="none"/>
              </w:rPr>
            </w:pPr>
          </w:p>
        </w:tc>
        <w:tc>
          <w:tcPr>
            <w:tcW w:w="2835" w:type="dxa"/>
          </w:tcPr>
          <w:p w14:paraId="7EED852F">
            <w:pPr>
              <w:snapToGrid w:val="0"/>
              <w:spacing w:line="360" w:lineRule="auto"/>
              <w:ind w:firstLine="735" w:firstLineChars="350"/>
              <w:jc w:val="left"/>
              <w:rPr>
                <w:rFonts w:ascii="宋体"/>
                <w:szCs w:val="21"/>
                <w:highlight w:val="none"/>
              </w:rPr>
            </w:pPr>
          </w:p>
        </w:tc>
      </w:tr>
    </w:tbl>
    <w:p w14:paraId="2B4DCEEB">
      <w:pPr>
        <w:spacing w:line="360" w:lineRule="auto"/>
        <w:ind w:firstLine="105" w:firstLineChars="50"/>
        <w:jc w:val="left"/>
        <w:outlineLvl w:val="3"/>
        <w:rPr>
          <w:rFonts w:hint="eastAsia" w:ascii="宋体" w:hAnsi="宋体" w:cs="宋体"/>
          <w:b/>
          <w:szCs w:val="21"/>
          <w:highlight w:val="none"/>
        </w:rPr>
      </w:pPr>
      <w:bookmarkStart w:id="377" w:name="_Toc527955057"/>
    </w:p>
    <w:p w14:paraId="6307DBD2">
      <w:pPr>
        <w:spacing w:line="360" w:lineRule="auto"/>
        <w:ind w:firstLine="105" w:firstLineChars="50"/>
        <w:jc w:val="left"/>
        <w:outlineLvl w:val="3"/>
        <w:rPr>
          <w:rFonts w:hint="eastAsia" w:ascii="宋体" w:hAnsi="宋体" w:cs="宋体"/>
          <w:b/>
          <w:szCs w:val="21"/>
          <w:highlight w:val="none"/>
        </w:rPr>
      </w:pPr>
    </w:p>
    <w:p w14:paraId="3F88E7F2">
      <w:pPr>
        <w:spacing w:line="360" w:lineRule="auto"/>
        <w:ind w:firstLine="105" w:firstLineChars="50"/>
        <w:jc w:val="left"/>
        <w:outlineLvl w:val="3"/>
        <w:rPr>
          <w:rFonts w:hint="eastAsia" w:ascii="宋体" w:hAnsi="宋体" w:cs="宋体"/>
          <w:b/>
          <w:szCs w:val="21"/>
          <w:highlight w:val="none"/>
        </w:rPr>
      </w:pPr>
    </w:p>
    <w:p w14:paraId="07BA9C2E">
      <w:pPr>
        <w:spacing w:line="360" w:lineRule="auto"/>
        <w:jc w:val="left"/>
        <w:outlineLvl w:val="3"/>
        <w:rPr>
          <w:rFonts w:hint="eastAsia" w:ascii="宋体" w:hAnsi="宋体" w:cs="宋体"/>
          <w:b/>
          <w:szCs w:val="21"/>
          <w:highlight w:val="none"/>
        </w:rPr>
      </w:pPr>
    </w:p>
    <w:p w14:paraId="023714E5">
      <w:pPr>
        <w:spacing w:line="360" w:lineRule="auto"/>
        <w:jc w:val="left"/>
        <w:outlineLvl w:val="3"/>
        <w:rPr>
          <w:rFonts w:hint="eastAsia" w:ascii="宋体" w:hAnsi="宋体" w:cs="宋体"/>
          <w:b/>
          <w:szCs w:val="21"/>
          <w:highlight w:val="none"/>
        </w:rPr>
      </w:pPr>
      <w:r>
        <w:rPr>
          <w:rFonts w:hint="eastAsia" w:ascii="宋体" w:hAnsi="宋体" w:cs="宋体"/>
          <w:b/>
          <w:szCs w:val="21"/>
          <w:highlight w:val="none"/>
        </w:rPr>
        <w:t>附件</w:t>
      </w:r>
      <w:r>
        <w:rPr>
          <w:rFonts w:ascii="宋体" w:hAnsi="宋体" w:cs="宋体"/>
          <w:b/>
          <w:szCs w:val="21"/>
          <w:highlight w:val="none"/>
        </w:rPr>
        <w:t>1</w:t>
      </w:r>
      <w:r>
        <w:rPr>
          <w:rFonts w:hint="eastAsia" w:ascii="宋体" w:hAnsi="宋体" w:cs="宋体"/>
          <w:b/>
          <w:szCs w:val="21"/>
          <w:highlight w:val="none"/>
        </w:rPr>
        <w:t>1</w:t>
      </w:r>
    </w:p>
    <w:p w14:paraId="162950D6">
      <w:pPr>
        <w:spacing w:line="360" w:lineRule="auto"/>
        <w:ind w:firstLine="105" w:firstLineChars="50"/>
        <w:jc w:val="left"/>
        <w:outlineLvl w:val="3"/>
        <w:rPr>
          <w:rFonts w:ascii="宋体" w:cs="宋体"/>
          <w:b/>
          <w:szCs w:val="21"/>
          <w:highlight w:val="none"/>
        </w:rPr>
      </w:pPr>
      <w:r>
        <w:rPr>
          <w:rFonts w:hint="eastAsia" w:ascii="宋体" w:hAnsi="宋体" w:cs="宋体"/>
          <w:b/>
          <w:szCs w:val="21"/>
          <w:highlight w:val="none"/>
        </w:rPr>
        <w:t>项目管理服务清单</w:t>
      </w:r>
      <w:bookmarkEnd w:id="377"/>
    </w:p>
    <w:p w14:paraId="4A0EEBB3">
      <w:pPr>
        <w:adjustRightInd w:val="0"/>
        <w:spacing w:line="520" w:lineRule="exact"/>
        <w:ind w:left="847" w:leftChars="70" w:hanging="700" w:hangingChars="250"/>
        <w:jc w:val="left"/>
        <w:textAlignment w:val="baseline"/>
        <w:rPr>
          <w:rFonts w:eastAsia="仿宋_GB2312"/>
          <w:kern w:val="0"/>
          <w:sz w:val="28"/>
          <w:szCs w:val="28"/>
          <w:highlight w:val="none"/>
        </w:rPr>
      </w:pPr>
    </w:p>
    <w:tbl>
      <w:tblPr>
        <w:tblStyle w:val="34"/>
        <w:tblpPr w:topFromText="180" w:bottomFromText="180" w:vertAnchor="text" w:horzAnchor="margin" w:tblpXSpec="center" w:tblpY="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205"/>
        <w:gridCol w:w="5252"/>
        <w:gridCol w:w="1319"/>
      </w:tblGrid>
      <w:tr w14:paraId="40752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39750739">
            <w:pPr>
              <w:spacing w:line="300" w:lineRule="auto"/>
              <w:jc w:val="left"/>
              <w:rPr>
                <w:rFonts w:ascii="宋体" w:cs="宋体"/>
                <w:szCs w:val="21"/>
                <w:highlight w:val="none"/>
              </w:rPr>
            </w:pPr>
            <w:r>
              <w:rPr>
                <w:rFonts w:hint="eastAsia" w:ascii="宋体" w:hAnsi="宋体" w:cs="宋体"/>
                <w:szCs w:val="21"/>
                <w:highlight w:val="none"/>
              </w:rPr>
              <w:t>序号</w:t>
            </w:r>
          </w:p>
        </w:tc>
        <w:tc>
          <w:tcPr>
            <w:tcW w:w="1205" w:type="dxa"/>
          </w:tcPr>
          <w:p w14:paraId="59A2DD56">
            <w:pPr>
              <w:spacing w:line="300" w:lineRule="auto"/>
              <w:jc w:val="left"/>
              <w:rPr>
                <w:rFonts w:ascii="宋体" w:cs="宋体"/>
                <w:szCs w:val="21"/>
                <w:highlight w:val="none"/>
              </w:rPr>
            </w:pPr>
            <w:r>
              <w:rPr>
                <w:rFonts w:hint="eastAsia" w:ascii="宋体" w:hAnsi="宋体" w:cs="宋体"/>
                <w:szCs w:val="21"/>
                <w:highlight w:val="none"/>
              </w:rPr>
              <w:t>服务范围</w:t>
            </w:r>
          </w:p>
        </w:tc>
        <w:tc>
          <w:tcPr>
            <w:tcW w:w="5252" w:type="dxa"/>
          </w:tcPr>
          <w:p w14:paraId="58121EF5">
            <w:pPr>
              <w:spacing w:line="300" w:lineRule="auto"/>
              <w:jc w:val="left"/>
              <w:rPr>
                <w:rFonts w:ascii="宋体" w:cs="宋体"/>
                <w:szCs w:val="21"/>
                <w:highlight w:val="none"/>
              </w:rPr>
            </w:pPr>
            <w:r>
              <w:rPr>
                <w:rFonts w:hint="eastAsia" w:ascii="宋体" w:hAnsi="宋体" w:cs="宋体"/>
                <w:szCs w:val="21"/>
                <w:highlight w:val="none"/>
              </w:rPr>
              <w:t>服务内容</w:t>
            </w:r>
          </w:p>
        </w:tc>
        <w:tc>
          <w:tcPr>
            <w:tcW w:w="1319" w:type="dxa"/>
          </w:tcPr>
          <w:p w14:paraId="4A3A7A5D">
            <w:pPr>
              <w:spacing w:line="300" w:lineRule="auto"/>
              <w:jc w:val="left"/>
              <w:rPr>
                <w:rFonts w:ascii="宋体" w:cs="宋体"/>
                <w:szCs w:val="21"/>
                <w:highlight w:val="none"/>
              </w:rPr>
            </w:pPr>
            <w:r>
              <w:rPr>
                <w:rFonts w:hint="eastAsia" w:ascii="宋体" w:hAnsi="宋体" w:cs="宋体"/>
                <w:szCs w:val="21"/>
                <w:highlight w:val="none"/>
              </w:rPr>
              <w:t>备注</w:t>
            </w:r>
          </w:p>
        </w:tc>
      </w:tr>
      <w:tr w14:paraId="3F87B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698EC554">
            <w:pPr>
              <w:spacing w:line="300" w:lineRule="auto"/>
              <w:jc w:val="left"/>
              <w:rPr>
                <w:rFonts w:ascii="宋体" w:cs="宋体"/>
                <w:szCs w:val="21"/>
                <w:highlight w:val="none"/>
              </w:rPr>
            </w:pPr>
            <w:r>
              <w:rPr>
                <w:rFonts w:ascii="宋体" w:hAnsi="宋体" w:cs="宋体"/>
                <w:szCs w:val="21"/>
                <w:highlight w:val="none"/>
              </w:rPr>
              <w:t>F</w:t>
            </w:r>
          </w:p>
        </w:tc>
        <w:tc>
          <w:tcPr>
            <w:tcW w:w="1205" w:type="dxa"/>
            <w:vAlign w:val="center"/>
          </w:tcPr>
          <w:p w14:paraId="2535075A">
            <w:pPr>
              <w:spacing w:line="300" w:lineRule="auto"/>
              <w:jc w:val="left"/>
              <w:rPr>
                <w:rFonts w:ascii="宋体" w:cs="宋体"/>
                <w:szCs w:val="21"/>
                <w:highlight w:val="none"/>
              </w:rPr>
            </w:pPr>
            <w:r>
              <w:rPr>
                <w:rFonts w:hint="eastAsia" w:ascii="宋体" w:hAnsi="宋体" w:cs="宋体"/>
                <w:szCs w:val="21"/>
                <w:highlight w:val="none"/>
              </w:rPr>
              <w:t>项目管理</w:t>
            </w:r>
          </w:p>
        </w:tc>
        <w:tc>
          <w:tcPr>
            <w:tcW w:w="5252" w:type="dxa"/>
          </w:tcPr>
          <w:p w14:paraId="7E67C762">
            <w:pPr>
              <w:widowControl/>
              <w:spacing w:line="300" w:lineRule="auto"/>
              <w:jc w:val="left"/>
              <w:rPr>
                <w:rFonts w:ascii="宋体" w:cs="宋体"/>
                <w:szCs w:val="21"/>
                <w:highlight w:val="none"/>
              </w:rPr>
            </w:pPr>
            <w:r>
              <w:rPr>
                <w:rFonts w:ascii="宋体" w:hAnsi="宋体" w:cs="宋体"/>
                <w:szCs w:val="21"/>
                <w:highlight w:val="none"/>
              </w:rPr>
              <w:t>1</w:t>
            </w:r>
            <w:r>
              <w:rPr>
                <w:rFonts w:hint="eastAsia" w:ascii="宋体" w:hAnsi="宋体" w:cs="宋体"/>
                <w:szCs w:val="21"/>
                <w:highlight w:val="none"/>
              </w:rPr>
              <w:t>、项目报批管理</w:t>
            </w:r>
          </w:p>
          <w:p w14:paraId="6E58E393">
            <w:pPr>
              <w:widowControl/>
              <w:spacing w:line="300" w:lineRule="auto"/>
              <w:jc w:val="left"/>
              <w:rPr>
                <w:rFonts w:ascii="宋体" w:cs="宋体"/>
                <w:szCs w:val="21"/>
                <w:highlight w:val="none"/>
              </w:rPr>
            </w:pPr>
            <w:r>
              <w:rPr>
                <w:rFonts w:ascii="宋体" w:hAnsi="宋体" w:cs="宋体"/>
                <w:szCs w:val="21"/>
                <w:highlight w:val="none"/>
              </w:rPr>
              <w:t>2</w:t>
            </w:r>
            <w:r>
              <w:rPr>
                <w:rFonts w:hint="eastAsia" w:ascii="宋体" w:hAnsi="宋体" w:cs="宋体"/>
                <w:szCs w:val="21"/>
                <w:highlight w:val="none"/>
              </w:rPr>
              <w:t>、合同管理</w:t>
            </w:r>
          </w:p>
          <w:p w14:paraId="631F6AAC">
            <w:pPr>
              <w:widowControl/>
              <w:spacing w:line="300" w:lineRule="auto"/>
              <w:jc w:val="left"/>
              <w:rPr>
                <w:rFonts w:ascii="宋体" w:cs="宋体"/>
                <w:szCs w:val="21"/>
                <w:highlight w:val="none"/>
              </w:rPr>
            </w:pPr>
            <w:r>
              <w:rPr>
                <w:rFonts w:ascii="宋体" w:hAnsi="宋体" w:cs="宋体"/>
                <w:szCs w:val="21"/>
                <w:highlight w:val="none"/>
              </w:rPr>
              <w:t>3</w:t>
            </w:r>
            <w:r>
              <w:rPr>
                <w:rFonts w:hint="eastAsia" w:ascii="宋体" w:hAnsi="宋体" w:cs="宋体"/>
                <w:szCs w:val="21"/>
                <w:highlight w:val="none"/>
              </w:rPr>
              <w:t>、设计管理</w:t>
            </w:r>
          </w:p>
          <w:p w14:paraId="474C3475">
            <w:pPr>
              <w:widowControl/>
              <w:spacing w:line="300" w:lineRule="auto"/>
              <w:jc w:val="left"/>
              <w:rPr>
                <w:rFonts w:ascii="宋体" w:cs="宋体"/>
                <w:szCs w:val="21"/>
                <w:highlight w:val="none"/>
              </w:rPr>
            </w:pPr>
            <w:r>
              <w:rPr>
                <w:rFonts w:ascii="宋体" w:hAnsi="宋体" w:cs="宋体"/>
                <w:szCs w:val="21"/>
                <w:highlight w:val="none"/>
              </w:rPr>
              <w:t>4</w:t>
            </w:r>
            <w:r>
              <w:rPr>
                <w:rFonts w:hint="eastAsia" w:ascii="宋体" w:hAnsi="宋体" w:cs="宋体"/>
                <w:szCs w:val="21"/>
                <w:highlight w:val="none"/>
              </w:rPr>
              <w:t>、进度管理</w:t>
            </w:r>
          </w:p>
          <w:p w14:paraId="51853C87">
            <w:pPr>
              <w:widowControl/>
              <w:spacing w:line="300" w:lineRule="auto"/>
              <w:jc w:val="left"/>
              <w:rPr>
                <w:rFonts w:ascii="宋体" w:cs="宋体"/>
                <w:szCs w:val="21"/>
                <w:highlight w:val="none"/>
              </w:rPr>
            </w:pPr>
            <w:r>
              <w:rPr>
                <w:rFonts w:ascii="宋体" w:hAnsi="宋体" w:cs="宋体"/>
                <w:szCs w:val="21"/>
                <w:highlight w:val="none"/>
              </w:rPr>
              <w:t>5</w:t>
            </w:r>
            <w:r>
              <w:rPr>
                <w:rFonts w:hint="eastAsia" w:ascii="宋体" w:hAnsi="宋体" w:cs="宋体"/>
                <w:szCs w:val="21"/>
                <w:highlight w:val="none"/>
              </w:rPr>
              <w:t>、质量管理</w:t>
            </w:r>
          </w:p>
          <w:p w14:paraId="7F6FE094">
            <w:pPr>
              <w:widowControl/>
              <w:spacing w:line="300" w:lineRule="auto"/>
              <w:jc w:val="left"/>
              <w:rPr>
                <w:rFonts w:ascii="宋体" w:cs="宋体"/>
                <w:szCs w:val="21"/>
                <w:highlight w:val="none"/>
              </w:rPr>
            </w:pPr>
            <w:r>
              <w:rPr>
                <w:rFonts w:ascii="宋体" w:hAnsi="宋体" w:cs="宋体"/>
                <w:szCs w:val="21"/>
                <w:highlight w:val="none"/>
              </w:rPr>
              <w:t>6</w:t>
            </w:r>
            <w:r>
              <w:rPr>
                <w:rFonts w:hint="eastAsia" w:ascii="宋体" w:hAnsi="宋体" w:cs="宋体"/>
                <w:szCs w:val="21"/>
                <w:highlight w:val="none"/>
              </w:rPr>
              <w:t>、安全生产管理</w:t>
            </w:r>
          </w:p>
          <w:p w14:paraId="0207904B">
            <w:pPr>
              <w:widowControl/>
              <w:spacing w:line="300" w:lineRule="auto"/>
              <w:jc w:val="left"/>
              <w:rPr>
                <w:rFonts w:ascii="宋体" w:cs="宋体"/>
                <w:szCs w:val="21"/>
                <w:highlight w:val="none"/>
              </w:rPr>
            </w:pPr>
            <w:r>
              <w:rPr>
                <w:rFonts w:ascii="宋体" w:hAnsi="宋体"/>
                <w:szCs w:val="21"/>
                <w:highlight w:val="none"/>
              </w:rPr>
              <w:t>7</w:t>
            </w:r>
            <w:r>
              <w:rPr>
                <w:rFonts w:hint="eastAsia" w:ascii="宋体" w:hAnsi="宋体"/>
                <w:szCs w:val="21"/>
                <w:highlight w:val="none"/>
              </w:rPr>
              <w:t>、投资管理</w:t>
            </w:r>
          </w:p>
          <w:p w14:paraId="773750E7">
            <w:pPr>
              <w:widowControl/>
              <w:spacing w:line="300" w:lineRule="auto"/>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、资源管理</w:t>
            </w:r>
          </w:p>
          <w:p w14:paraId="2027AEF3">
            <w:pPr>
              <w:widowControl/>
              <w:spacing w:line="300" w:lineRule="auto"/>
              <w:jc w:val="left"/>
              <w:rPr>
                <w:rFonts w:ascii="宋体" w:cs="宋体"/>
                <w:szCs w:val="21"/>
                <w:highlight w:val="none"/>
              </w:rPr>
            </w:pPr>
            <w:r>
              <w:rPr>
                <w:rFonts w:ascii="宋体" w:hAnsi="宋体" w:cs="宋体"/>
                <w:szCs w:val="21"/>
                <w:highlight w:val="none"/>
              </w:rPr>
              <w:t>9</w:t>
            </w:r>
            <w:r>
              <w:rPr>
                <w:rFonts w:hint="eastAsia" w:ascii="宋体" w:hAnsi="宋体" w:cs="宋体"/>
                <w:szCs w:val="21"/>
                <w:highlight w:val="none"/>
              </w:rPr>
              <w:t>、信息与知识管理</w:t>
            </w:r>
          </w:p>
          <w:p w14:paraId="2D6F6297">
            <w:pPr>
              <w:widowControl/>
              <w:spacing w:line="300" w:lineRule="auto"/>
              <w:jc w:val="left"/>
              <w:rPr>
                <w:rFonts w:ascii="宋体" w:cs="宋体"/>
                <w:szCs w:val="21"/>
                <w:highlight w:val="none"/>
              </w:rPr>
            </w:pPr>
            <w:r>
              <w:rPr>
                <w:rFonts w:ascii="宋体" w:hAnsi="宋体" w:cs="宋体"/>
                <w:szCs w:val="21"/>
                <w:highlight w:val="none"/>
              </w:rPr>
              <w:t>10</w:t>
            </w:r>
            <w:r>
              <w:rPr>
                <w:rFonts w:hint="eastAsia" w:ascii="宋体" w:hAnsi="宋体" w:cs="宋体"/>
                <w:szCs w:val="21"/>
                <w:highlight w:val="none"/>
              </w:rPr>
              <w:t>、收尾管理</w:t>
            </w:r>
          </w:p>
        </w:tc>
        <w:tc>
          <w:tcPr>
            <w:tcW w:w="1319" w:type="dxa"/>
          </w:tcPr>
          <w:p w14:paraId="25260B2E">
            <w:pPr>
              <w:spacing w:line="300" w:lineRule="auto"/>
              <w:jc w:val="left"/>
              <w:rPr>
                <w:rFonts w:ascii="宋体" w:cs="宋体"/>
                <w:szCs w:val="21"/>
                <w:highlight w:val="none"/>
              </w:rPr>
            </w:pPr>
          </w:p>
        </w:tc>
      </w:tr>
    </w:tbl>
    <w:p w14:paraId="53E1AE84">
      <w:pPr>
        <w:ind w:firstLine="105" w:firstLineChars="50"/>
        <w:jc w:val="left"/>
        <w:rPr>
          <w:rFonts w:hint="eastAsia" w:ascii="宋体" w:hAnsi="宋体"/>
          <w:b/>
          <w:highlight w:val="none"/>
        </w:rPr>
      </w:pPr>
    </w:p>
    <w:p w14:paraId="13F0E954">
      <w:pPr>
        <w:ind w:firstLine="105" w:firstLineChars="50"/>
        <w:jc w:val="left"/>
        <w:rPr>
          <w:rFonts w:hint="eastAsia" w:ascii="宋体" w:hAnsi="宋体"/>
          <w:b/>
          <w:highlight w:val="none"/>
        </w:rPr>
      </w:pPr>
    </w:p>
    <w:p w14:paraId="1C33FA28">
      <w:pPr>
        <w:ind w:firstLine="105" w:firstLineChars="50"/>
        <w:jc w:val="left"/>
        <w:rPr>
          <w:rFonts w:hint="eastAsia" w:ascii="宋体" w:hAnsi="宋体"/>
          <w:b/>
          <w:highlight w:val="none"/>
        </w:rPr>
      </w:pPr>
    </w:p>
    <w:p w14:paraId="1110A4AE">
      <w:pPr>
        <w:ind w:firstLine="105" w:firstLineChars="50"/>
        <w:jc w:val="left"/>
        <w:rPr>
          <w:rFonts w:hint="eastAsia" w:ascii="宋体" w:hAnsi="宋体"/>
          <w:b/>
          <w:highlight w:val="none"/>
        </w:rPr>
      </w:pPr>
    </w:p>
    <w:p w14:paraId="468A5A03">
      <w:pPr>
        <w:ind w:firstLine="105" w:firstLineChars="50"/>
        <w:jc w:val="left"/>
        <w:rPr>
          <w:rFonts w:hint="eastAsia" w:ascii="宋体" w:hAnsi="宋体"/>
          <w:b/>
          <w:highlight w:val="none"/>
        </w:rPr>
      </w:pPr>
    </w:p>
    <w:p w14:paraId="44AC04C6">
      <w:pPr>
        <w:ind w:firstLine="105" w:firstLineChars="50"/>
        <w:jc w:val="left"/>
        <w:rPr>
          <w:rFonts w:hint="eastAsia" w:ascii="宋体" w:hAnsi="宋体"/>
          <w:b/>
          <w:highlight w:val="none"/>
        </w:rPr>
      </w:pPr>
    </w:p>
    <w:p w14:paraId="163FF80C">
      <w:pPr>
        <w:ind w:firstLine="105" w:firstLineChars="50"/>
        <w:jc w:val="left"/>
        <w:rPr>
          <w:rFonts w:hint="eastAsia" w:ascii="宋体" w:hAnsi="宋体"/>
          <w:b/>
          <w:highlight w:val="none"/>
        </w:rPr>
      </w:pPr>
    </w:p>
    <w:p w14:paraId="2F1BAF37">
      <w:pPr>
        <w:ind w:firstLine="105" w:firstLineChars="50"/>
        <w:jc w:val="left"/>
        <w:rPr>
          <w:rFonts w:hint="eastAsia" w:ascii="宋体" w:hAnsi="宋体"/>
          <w:b/>
          <w:highlight w:val="none"/>
        </w:rPr>
      </w:pPr>
    </w:p>
    <w:p w14:paraId="541D9610">
      <w:pPr>
        <w:ind w:firstLine="105" w:firstLineChars="50"/>
        <w:jc w:val="left"/>
        <w:rPr>
          <w:rFonts w:hint="eastAsia" w:ascii="宋体" w:hAnsi="宋体"/>
          <w:b/>
          <w:highlight w:val="none"/>
        </w:rPr>
      </w:pPr>
    </w:p>
    <w:p w14:paraId="0E12CFCA">
      <w:pPr>
        <w:ind w:firstLine="105" w:firstLineChars="50"/>
        <w:jc w:val="left"/>
        <w:rPr>
          <w:rFonts w:hint="eastAsia" w:ascii="宋体" w:hAnsi="宋体"/>
          <w:b/>
          <w:highlight w:val="none"/>
        </w:rPr>
      </w:pPr>
    </w:p>
    <w:p w14:paraId="02BA220C">
      <w:pPr>
        <w:ind w:firstLine="105" w:firstLineChars="50"/>
        <w:jc w:val="left"/>
        <w:rPr>
          <w:rFonts w:hint="eastAsia" w:ascii="宋体" w:hAnsi="宋体"/>
          <w:b/>
          <w:highlight w:val="none"/>
        </w:rPr>
      </w:pPr>
    </w:p>
    <w:p w14:paraId="39B8D989">
      <w:pPr>
        <w:ind w:firstLine="105" w:firstLineChars="50"/>
        <w:jc w:val="left"/>
        <w:rPr>
          <w:rFonts w:hint="eastAsia" w:ascii="宋体" w:hAnsi="宋体"/>
          <w:b/>
          <w:highlight w:val="none"/>
        </w:rPr>
      </w:pPr>
    </w:p>
    <w:p w14:paraId="037E38F0">
      <w:pPr>
        <w:ind w:firstLine="105" w:firstLineChars="50"/>
        <w:jc w:val="left"/>
        <w:rPr>
          <w:rFonts w:hint="eastAsia" w:ascii="宋体" w:hAnsi="宋体"/>
          <w:b/>
          <w:highlight w:val="none"/>
        </w:rPr>
      </w:pPr>
    </w:p>
    <w:p w14:paraId="1C5B0357">
      <w:pPr>
        <w:ind w:firstLine="105" w:firstLineChars="50"/>
        <w:jc w:val="left"/>
        <w:rPr>
          <w:rFonts w:hint="eastAsia" w:ascii="宋体" w:hAnsi="宋体"/>
          <w:b/>
          <w:highlight w:val="none"/>
        </w:rPr>
      </w:pPr>
    </w:p>
    <w:p w14:paraId="6A9BE443">
      <w:pPr>
        <w:ind w:firstLine="105" w:firstLineChars="50"/>
        <w:jc w:val="left"/>
        <w:rPr>
          <w:rFonts w:hint="eastAsia" w:ascii="宋体" w:hAnsi="宋体"/>
          <w:b/>
          <w:highlight w:val="none"/>
        </w:rPr>
      </w:pPr>
    </w:p>
    <w:p w14:paraId="7990DF5D">
      <w:pPr>
        <w:ind w:firstLine="105" w:firstLineChars="50"/>
        <w:jc w:val="left"/>
        <w:rPr>
          <w:rFonts w:hint="eastAsia" w:ascii="宋体" w:hAnsi="宋体"/>
          <w:b/>
          <w:highlight w:val="none"/>
        </w:rPr>
      </w:pPr>
    </w:p>
    <w:p w14:paraId="45D5EABF">
      <w:pPr>
        <w:ind w:firstLine="105" w:firstLineChars="50"/>
        <w:jc w:val="left"/>
        <w:rPr>
          <w:rFonts w:hint="eastAsia" w:ascii="宋体" w:hAnsi="宋体"/>
          <w:b/>
          <w:highlight w:val="none"/>
        </w:rPr>
      </w:pPr>
    </w:p>
    <w:p w14:paraId="3A9B73E2">
      <w:pPr>
        <w:ind w:firstLine="105" w:firstLineChars="50"/>
        <w:jc w:val="left"/>
        <w:rPr>
          <w:rFonts w:hint="eastAsia" w:ascii="宋体" w:hAnsi="宋体"/>
          <w:b/>
          <w:highlight w:val="none"/>
        </w:rPr>
      </w:pPr>
    </w:p>
    <w:p w14:paraId="78B97E6A">
      <w:pPr>
        <w:ind w:firstLine="105" w:firstLineChars="50"/>
        <w:jc w:val="left"/>
        <w:rPr>
          <w:rFonts w:hint="eastAsia" w:ascii="宋体" w:hAnsi="宋体"/>
          <w:b/>
          <w:highlight w:val="none"/>
        </w:rPr>
      </w:pPr>
    </w:p>
    <w:p w14:paraId="7F339620">
      <w:pPr>
        <w:spacing w:line="360" w:lineRule="auto"/>
        <w:jc w:val="center"/>
        <w:outlineLvl w:val="0"/>
        <w:rPr>
          <w:rFonts w:hint="eastAsia" w:ascii="黑体" w:hAnsi="黑体" w:eastAsia="黑体"/>
          <w:snapToGrid w:val="0"/>
          <w:kern w:val="0"/>
          <w:sz w:val="32"/>
          <w:highlight w:val="none"/>
        </w:rPr>
      </w:pPr>
      <w:r>
        <w:rPr>
          <w:rFonts w:hint="eastAsia" w:ascii="黑体" w:hAnsi="黑体" w:eastAsia="黑体"/>
          <w:snapToGrid w:val="0"/>
          <w:kern w:val="0"/>
          <w:sz w:val="32"/>
          <w:highlight w:val="none"/>
        </w:rPr>
        <w:t>第五章</w:t>
      </w:r>
      <w:r>
        <w:rPr>
          <w:rFonts w:ascii="黑体" w:hAnsi="黑体" w:eastAsia="黑体"/>
          <w:snapToGrid w:val="0"/>
          <w:kern w:val="0"/>
          <w:sz w:val="32"/>
          <w:highlight w:val="none"/>
        </w:rPr>
        <w:t xml:space="preserve">  </w:t>
      </w:r>
      <w:r>
        <w:rPr>
          <w:rFonts w:hint="eastAsia" w:ascii="黑体" w:hAnsi="黑体" w:eastAsia="黑体"/>
          <w:snapToGrid w:val="0"/>
          <w:kern w:val="0"/>
          <w:sz w:val="32"/>
          <w:highlight w:val="none"/>
        </w:rPr>
        <w:t>投资人需求</w:t>
      </w:r>
    </w:p>
    <w:p w14:paraId="79133FEF">
      <w:pPr>
        <w:pStyle w:val="6"/>
        <w:keepNext w:val="0"/>
        <w:keepLines w:val="0"/>
        <w:spacing w:before="0" w:after="0" w:line="360" w:lineRule="auto"/>
        <w:jc w:val="left"/>
        <w:rPr>
          <w:rFonts w:hint="eastAsia" w:ascii="宋体" w:hAnsi="宋体"/>
          <w:sz w:val="24"/>
          <w:szCs w:val="24"/>
          <w:highlight w:val="none"/>
        </w:rPr>
      </w:pPr>
      <w:r>
        <w:rPr>
          <w:rFonts w:hint="eastAsia" w:ascii="宋体" w:hAnsi="宋体"/>
          <w:snapToGrid w:val="0"/>
          <w:sz w:val="24"/>
          <w:szCs w:val="24"/>
          <w:highlight w:val="none"/>
        </w:rPr>
        <w:t>一、</w:t>
      </w:r>
      <w:r>
        <w:rPr>
          <w:rFonts w:hint="eastAsia" w:ascii="宋体" w:hAnsi="宋体"/>
          <w:sz w:val="24"/>
          <w:szCs w:val="24"/>
          <w:highlight w:val="none"/>
        </w:rPr>
        <w:t>《投资人需求》</w:t>
      </w:r>
    </w:p>
    <w:p w14:paraId="7288ACD5">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1、招标范围：全过程工程咨询服务，</w:t>
      </w:r>
      <w:r>
        <w:rPr>
          <w:rFonts w:hint="eastAsia" w:ascii="宋体" w:hAnsi="宋体"/>
          <w:szCs w:val="21"/>
          <w:highlight w:val="none"/>
          <w:u w:val="single"/>
        </w:rPr>
        <w:t>包括：工程造价咨询、监理、项目管理。</w:t>
      </w:r>
    </w:p>
    <w:p w14:paraId="005B4EB6">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2、各专业咨询服务的范围</w:t>
      </w:r>
      <w:r>
        <w:rPr>
          <w:rFonts w:hint="eastAsia"/>
          <w:snapToGrid w:val="0"/>
          <w:kern w:val="0"/>
          <w:szCs w:val="22"/>
          <w:highlight w:val="none"/>
        </w:rPr>
        <w:t>和服务内容</w:t>
      </w:r>
    </w:p>
    <w:p w14:paraId="49E73BD0">
      <w:pPr>
        <w:widowControl/>
        <w:spacing w:line="300" w:lineRule="auto"/>
        <w:ind w:firstLine="420" w:firstLineChars="200"/>
        <w:jc w:val="left"/>
        <w:rPr>
          <w:rFonts w:ascii="宋体" w:cs="宋体"/>
          <w:szCs w:val="21"/>
          <w:highlight w:val="none"/>
        </w:rPr>
      </w:pPr>
      <w:r>
        <w:rPr>
          <w:rFonts w:hint="eastAsia" w:ascii="宋体"/>
          <w:snapToGrid w:val="0"/>
          <w:kern w:val="0"/>
          <w:szCs w:val="22"/>
          <w:highlight w:val="none"/>
        </w:rPr>
        <w:t>1）项目管理工作范围</w:t>
      </w:r>
      <w:r>
        <w:rPr>
          <w:rFonts w:hint="eastAsia"/>
          <w:snapToGrid w:val="0"/>
          <w:kern w:val="0"/>
          <w:szCs w:val="22"/>
          <w:highlight w:val="none"/>
        </w:rPr>
        <w:t>和服务内容</w:t>
      </w:r>
      <w:r>
        <w:rPr>
          <w:rFonts w:hint="eastAsia" w:ascii="宋体"/>
          <w:snapToGrid w:val="0"/>
          <w:kern w:val="0"/>
          <w:szCs w:val="22"/>
          <w:highlight w:val="none"/>
        </w:rPr>
        <w:t>：</w:t>
      </w:r>
      <w:r>
        <w:rPr>
          <w:rFonts w:hint="eastAsia" w:ascii="宋体" w:hAnsi="宋体" w:cs="宋体"/>
          <w:szCs w:val="21"/>
          <w:highlight w:val="none"/>
        </w:rPr>
        <w:t>/</w:t>
      </w:r>
    </w:p>
    <w:p w14:paraId="46EE6E09">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2）设计范围和内容：</w:t>
      </w:r>
    </w:p>
    <w:p w14:paraId="44001E78">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3）监理的范围</w:t>
      </w:r>
      <w:r>
        <w:rPr>
          <w:rFonts w:hint="eastAsia"/>
          <w:snapToGrid w:val="0"/>
          <w:kern w:val="0"/>
          <w:szCs w:val="22"/>
          <w:highlight w:val="none"/>
        </w:rPr>
        <w:t>：施工图纸范围内的全过程施工监理。</w:t>
      </w:r>
    </w:p>
    <w:p w14:paraId="539DBB35">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4）招标代理的工作范围</w:t>
      </w:r>
      <w:r>
        <w:rPr>
          <w:rFonts w:hint="eastAsia"/>
          <w:snapToGrid w:val="0"/>
          <w:kern w:val="0"/>
          <w:szCs w:val="22"/>
          <w:highlight w:val="none"/>
        </w:rPr>
        <w:t>：</w:t>
      </w:r>
    </w:p>
    <w:p w14:paraId="6523C362">
      <w:pPr>
        <w:spacing w:line="360" w:lineRule="auto"/>
        <w:ind w:firstLine="420" w:firstLineChars="200"/>
        <w:jc w:val="left"/>
        <w:rPr>
          <w:rFonts w:hint="eastAsia" w:ascii="宋体" w:hAnsi="宋体"/>
          <w:szCs w:val="21"/>
          <w:highlight w:val="none"/>
          <w:u w:val="single"/>
        </w:rPr>
      </w:pPr>
      <w:r>
        <w:rPr>
          <w:rFonts w:hint="eastAsia" w:ascii="宋体"/>
          <w:snapToGrid w:val="0"/>
          <w:kern w:val="0"/>
          <w:szCs w:val="22"/>
          <w:highlight w:val="none"/>
        </w:rPr>
        <w:t>5）造价咨询的范围</w:t>
      </w:r>
      <w:r>
        <w:rPr>
          <w:rFonts w:hint="eastAsia"/>
          <w:szCs w:val="21"/>
          <w:highlight w:val="none"/>
        </w:rPr>
        <w:t>：</w:t>
      </w:r>
      <w:r>
        <w:rPr>
          <w:rFonts w:hint="eastAsia" w:ascii="宋体" w:hAnsi="宋体"/>
          <w:szCs w:val="21"/>
          <w:highlight w:val="none"/>
          <w:u w:val="single"/>
        </w:rPr>
        <w:t>工程造价咨询、其他咨询服务</w:t>
      </w:r>
    </w:p>
    <w:p w14:paraId="280B6C5B">
      <w:pPr>
        <w:spacing w:line="360" w:lineRule="auto"/>
        <w:ind w:firstLine="420" w:firstLineChars="200"/>
        <w:jc w:val="left"/>
        <w:rPr>
          <w:rFonts w:ascii="宋体"/>
          <w:snapToGrid w:val="0"/>
          <w:kern w:val="0"/>
          <w:szCs w:val="22"/>
          <w:highlight w:val="none"/>
        </w:rPr>
      </w:pPr>
      <w:r>
        <w:rPr>
          <w:rFonts w:hint="eastAsia" w:ascii="宋体" w:hAnsi="宋体"/>
          <w:szCs w:val="21"/>
          <w:highlight w:val="none"/>
          <w:u w:val="single"/>
        </w:rPr>
        <w:t>3、除招标要求配置最低工程监理人员外中标单位必须另外无偿配置3名专职管理人员（负责农民工实名制、材料、签证管理）。</w:t>
      </w:r>
    </w:p>
    <w:p w14:paraId="5948AC29">
      <w:pPr>
        <w:pStyle w:val="6"/>
        <w:keepNext w:val="0"/>
        <w:keepLines w:val="0"/>
        <w:spacing w:before="0" w:after="0" w:line="360" w:lineRule="auto"/>
        <w:jc w:val="left"/>
        <w:rPr>
          <w:rFonts w:ascii="宋体"/>
          <w:snapToGrid w:val="0"/>
          <w:sz w:val="24"/>
          <w:szCs w:val="24"/>
          <w:highlight w:val="none"/>
        </w:rPr>
      </w:pPr>
      <w:r>
        <w:rPr>
          <w:rFonts w:hint="eastAsia" w:ascii="宋体" w:hAnsi="宋体"/>
          <w:snapToGrid w:val="0"/>
          <w:sz w:val="24"/>
          <w:szCs w:val="24"/>
          <w:highlight w:val="none"/>
        </w:rPr>
        <w:t>二、执行的相关建设工程规范、规程和技术标准</w:t>
      </w:r>
    </w:p>
    <w:p w14:paraId="54017736">
      <w:pPr>
        <w:spacing w:line="360" w:lineRule="auto"/>
        <w:ind w:firstLine="420" w:firstLineChars="200"/>
        <w:jc w:val="left"/>
        <w:rPr>
          <w:rFonts w:ascii="宋体"/>
          <w:snapToGrid w:val="0"/>
          <w:kern w:val="0"/>
          <w:highlight w:val="none"/>
        </w:rPr>
      </w:pPr>
      <w:r>
        <w:rPr>
          <w:rFonts w:ascii="宋体"/>
          <w:snapToGrid w:val="0"/>
          <w:kern w:val="0"/>
          <w:highlight w:val="none"/>
        </w:rPr>
        <w:t>1</w:t>
      </w:r>
      <w:r>
        <w:rPr>
          <w:rFonts w:hint="eastAsia" w:ascii="宋体"/>
          <w:snapToGrid w:val="0"/>
          <w:kern w:val="0"/>
          <w:highlight w:val="none"/>
        </w:rPr>
        <w:t>、执行的相关现行建设工程规范、规程和技朮标准：</w:t>
      </w:r>
    </w:p>
    <w:p w14:paraId="5747360C">
      <w:pPr>
        <w:spacing w:line="360" w:lineRule="auto"/>
        <w:ind w:firstLine="420" w:firstLineChars="200"/>
        <w:jc w:val="left"/>
        <w:rPr>
          <w:rFonts w:ascii="宋体"/>
          <w:snapToGrid w:val="0"/>
          <w:kern w:val="0"/>
          <w:highlight w:val="none"/>
          <w:u w:val="single"/>
        </w:rPr>
      </w:pPr>
      <w:r>
        <w:rPr>
          <w:rFonts w:hint="eastAsia" w:ascii="宋体"/>
          <w:snapToGrid w:val="0"/>
          <w:kern w:val="0"/>
          <w:highlight w:val="none"/>
          <w:u w:val="single"/>
        </w:rPr>
        <w:t>《江苏省全过程工程咨询服务导则》；</w:t>
      </w:r>
    </w:p>
    <w:p w14:paraId="61F1459F">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国家、行业、项目所在地规范名录：</w:t>
      </w:r>
    </w:p>
    <w:p w14:paraId="0008C7BF">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国家、行业、项目所在地标准名录：</w:t>
      </w:r>
    </w:p>
    <w:p w14:paraId="6BE39BD6">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国家、行业、项目所在地规程名录：</w:t>
      </w:r>
    </w:p>
    <w:p w14:paraId="15DE5C74">
      <w:pPr>
        <w:spacing w:line="360" w:lineRule="auto"/>
        <w:ind w:firstLine="420" w:firstLineChars="200"/>
        <w:jc w:val="left"/>
        <w:rPr>
          <w:rFonts w:ascii="宋体"/>
          <w:snapToGrid w:val="0"/>
          <w:kern w:val="0"/>
          <w:highlight w:val="none"/>
        </w:rPr>
      </w:pPr>
      <w:r>
        <w:rPr>
          <w:rFonts w:hint="eastAsia" w:ascii="宋体"/>
          <w:snapToGrid w:val="0"/>
          <w:kern w:val="0"/>
          <w:highlight w:val="none"/>
        </w:rPr>
        <w:t>其他：</w:t>
      </w:r>
    </w:p>
    <w:p w14:paraId="0E8D8B10">
      <w:pPr>
        <w:spacing w:line="360" w:lineRule="auto"/>
        <w:ind w:firstLine="420" w:firstLineChars="200"/>
        <w:jc w:val="left"/>
        <w:rPr>
          <w:rFonts w:hint="eastAsia" w:ascii="宋体" w:hAnsi="宋体"/>
          <w:snapToGrid w:val="0"/>
          <w:kern w:val="0"/>
          <w:highlight w:val="none"/>
        </w:rPr>
      </w:pPr>
      <w:r>
        <w:rPr>
          <w:rFonts w:ascii="宋体"/>
          <w:snapToGrid w:val="0"/>
          <w:kern w:val="0"/>
          <w:highlight w:val="none"/>
        </w:rPr>
        <w:t>2</w:t>
      </w:r>
      <w:r>
        <w:rPr>
          <w:rFonts w:hint="eastAsia" w:ascii="宋体"/>
          <w:snapToGrid w:val="0"/>
          <w:kern w:val="0"/>
          <w:highlight w:val="none"/>
        </w:rPr>
        <w:t>、在合同履行过程中，有最新</w:t>
      </w:r>
      <w:r>
        <w:rPr>
          <w:rFonts w:hint="eastAsia" w:ascii="宋体" w:hAnsi="宋体"/>
          <w:snapToGrid w:val="0"/>
          <w:kern w:val="0"/>
          <w:highlight w:val="none"/>
        </w:rPr>
        <w:t>建设工程规范、规程和技朮标准发布的，按其中较高的标准执行。</w:t>
      </w:r>
    </w:p>
    <w:p w14:paraId="671C8BC6">
      <w:pPr>
        <w:spacing w:line="360" w:lineRule="auto"/>
        <w:jc w:val="left"/>
        <w:outlineLvl w:val="0"/>
        <w:rPr>
          <w:rFonts w:hint="eastAsia" w:ascii="黑体" w:hAnsi="黑体" w:eastAsia="黑体"/>
          <w:snapToGrid w:val="0"/>
          <w:kern w:val="0"/>
          <w:sz w:val="32"/>
          <w:highlight w:val="none"/>
        </w:rPr>
      </w:pPr>
    </w:p>
    <w:p w14:paraId="4D2B1627">
      <w:pPr>
        <w:jc w:val="left"/>
        <w:rPr>
          <w:rFonts w:hint="eastAsia" w:ascii="黑体" w:hAnsi="宋体" w:eastAsia="黑体"/>
          <w:bCs/>
          <w:sz w:val="24"/>
          <w:szCs w:val="24"/>
          <w:highlight w:val="none"/>
        </w:rPr>
      </w:pPr>
    </w:p>
    <w:p w14:paraId="08FDAD3D">
      <w:pPr>
        <w:jc w:val="left"/>
        <w:rPr>
          <w:rFonts w:hint="eastAsia" w:ascii="黑体" w:hAnsi="宋体" w:eastAsia="黑体"/>
          <w:bCs/>
          <w:sz w:val="24"/>
          <w:szCs w:val="24"/>
          <w:highlight w:val="none"/>
        </w:rPr>
      </w:pPr>
    </w:p>
    <w:p w14:paraId="06EBB330">
      <w:pPr>
        <w:jc w:val="left"/>
        <w:rPr>
          <w:rFonts w:hint="eastAsia" w:ascii="黑体" w:hAnsi="宋体" w:eastAsia="黑体"/>
          <w:bCs/>
          <w:sz w:val="24"/>
          <w:szCs w:val="24"/>
          <w:highlight w:val="none"/>
        </w:rPr>
      </w:pPr>
    </w:p>
    <w:p w14:paraId="1B45EA7E">
      <w:pPr>
        <w:jc w:val="left"/>
        <w:rPr>
          <w:rFonts w:hint="eastAsia" w:ascii="黑体" w:hAnsi="宋体" w:eastAsia="黑体"/>
          <w:bCs/>
          <w:sz w:val="24"/>
          <w:szCs w:val="24"/>
          <w:highlight w:val="none"/>
        </w:rPr>
      </w:pPr>
    </w:p>
    <w:p w14:paraId="6441A423">
      <w:pPr>
        <w:jc w:val="left"/>
        <w:rPr>
          <w:rFonts w:hint="eastAsia" w:ascii="黑体" w:hAnsi="宋体" w:eastAsia="黑体"/>
          <w:bCs/>
          <w:sz w:val="24"/>
          <w:szCs w:val="24"/>
          <w:highlight w:val="none"/>
        </w:rPr>
      </w:pPr>
    </w:p>
    <w:p w14:paraId="4542ADAE">
      <w:pPr>
        <w:jc w:val="left"/>
        <w:rPr>
          <w:rFonts w:hint="eastAsia" w:ascii="黑体" w:hAnsi="宋体" w:eastAsia="黑体"/>
          <w:bCs/>
          <w:sz w:val="24"/>
          <w:szCs w:val="24"/>
          <w:highlight w:val="none"/>
        </w:rPr>
      </w:pPr>
    </w:p>
    <w:p w14:paraId="2A0DB352">
      <w:pPr>
        <w:pStyle w:val="2"/>
        <w:jc w:val="left"/>
        <w:rPr>
          <w:highlight w:val="none"/>
        </w:rPr>
      </w:pPr>
    </w:p>
    <w:p w14:paraId="6AA512B9">
      <w:pPr>
        <w:jc w:val="left"/>
        <w:rPr>
          <w:rFonts w:hint="eastAsia" w:ascii="黑体" w:hAnsi="宋体" w:eastAsia="黑体"/>
          <w:bCs/>
          <w:sz w:val="24"/>
          <w:szCs w:val="24"/>
          <w:highlight w:val="none"/>
        </w:rPr>
      </w:pPr>
    </w:p>
    <w:p w14:paraId="59CC3D6A">
      <w:pPr>
        <w:jc w:val="left"/>
        <w:rPr>
          <w:rFonts w:hint="eastAsia" w:ascii="宋体" w:hAnsi="宋体" w:cs="宋体"/>
          <w:b/>
          <w:bCs/>
          <w:sz w:val="32"/>
          <w:szCs w:val="32"/>
          <w:highlight w:val="none"/>
        </w:rPr>
      </w:pPr>
      <w:r>
        <w:rPr>
          <w:rFonts w:hint="eastAsia" w:ascii="黑体" w:hAnsi="宋体" w:eastAsia="黑体"/>
          <w:bCs/>
          <w:sz w:val="24"/>
          <w:szCs w:val="24"/>
          <w:highlight w:val="none"/>
        </w:rPr>
        <w:t>附件一：宜兴市公用环保集团有限公司第三方审计单位审计工作考核制度：</w:t>
      </w:r>
    </w:p>
    <w:p w14:paraId="0B5CEF2A">
      <w:pPr>
        <w:jc w:val="center"/>
        <w:rPr>
          <w:rFonts w:hint="eastAsia" w:ascii="宋体" w:hAnsi="宋体" w:cs="宋体"/>
          <w:sz w:val="32"/>
          <w:szCs w:val="32"/>
          <w:highlight w:val="none"/>
        </w:rPr>
      </w:pPr>
      <w:r>
        <w:rPr>
          <w:rFonts w:hint="eastAsia" w:ascii="宋体" w:hAnsi="宋体" w:cs="宋体"/>
          <w:sz w:val="32"/>
          <w:szCs w:val="32"/>
          <w:highlight w:val="none"/>
        </w:rPr>
        <w:t>第三方审计单位审计工作考核细则</w:t>
      </w:r>
    </w:p>
    <w:tbl>
      <w:tblPr>
        <w:tblStyle w:val="34"/>
        <w:tblW w:w="9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338"/>
        <w:gridCol w:w="1075"/>
        <w:gridCol w:w="4292"/>
        <w:gridCol w:w="788"/>
      </w:tblGrid>
      <w:tr w14:paraId="51191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56" w:type="dxa"/>
            <w:vAlign w:val="center"/>
          </w:tcPr>
          <w:p w14:paraId="074FE811">
            <w:pPr>
              <w:spacing w:before="100" w:after="100"/>
              <w:jc w:val="left"/>
              <w:rPr>
                <w:rFonts w:hint="eastAsia" w:ascii="宋体" w:hAnsi="宋体" w:cs="宋体"/>
                <w:szCs w:val="21"/>
                <w:highlight w:val="none"/>
              </w:rPr>
            </w:pPr>
            <w:r>
              <w:rPr>
                <w:rFonts w:hint="eastAsia" w:ascii="宋体" w:hAnsi="宋体" w:cs="宋体"/>
                <w:szCs w:val="21"/>
                <w:highlight w:val="none"/>
              </w:rPr>
              <w:t>序号</w:t>
            </w:r>
          </w:p>
        </w:tc>
        <w:tc>
          <w:tcPr>
            <w:tcW w:w="2338" w:type="dxa"/>
            <w:vAlign w:val="center"/>
          </w:tcPr>
          <w:p w14:paraId="1F86846F">
            <w:pPr>
              <w:spacing w:before="100" w:after="100"/>
              <w:jc w:val="left"/>
              <w:rPr>
                <w:rFonts w:hint="eastAsia" w:ascii="宋体" w:hAnsi="宋体" w:cs="宋体"/>
                <w:szCs w:val="21"/>
                <w:highlight w:val="none"/>
              </w:rPr>
            </w:pPr>
            <w:r>
              <w:rPr>
                <w:rFonts w:hint="eastAsia" w:ascii="宋体" w:hAnsi="宋体" w:cs="宋体"/>
                <w:szCs w:val="21"/>
                <w:highlight w:val="none"/>
              </w:rPr>
              <w:t>项目名称</w:t>
            </w:r>
          </w:p>
        </w:tc>
        <w:tc>
          <w:tcPr>
            <w:tcW w:w="1075" w:type="dxa"/>
            <w:vAlign w:val="center"/>
          </w:tcPr>
          <w:p w14:paraId="069348E8">
            <w:pPr>
              <w:spacing w:before="100" w:after="100"/>
              <w:jc w:val="left"/>
              <w:rPr>
                <w:rFonts w:hint="eastAsia" w:ascii="宋体" w:hAnsi="宋体" w:cs="宋体"/>
                <w:szCs w:val="21"/>
                <w:highlight w:val="none"/>
              </w:rPr>
            </w:pPr>
            <w:r>
              <w:rPr>
                <w:rFonts w:hint="eastAsia" w:ascii="宋体" w:hAnsi="宋体" w:cs="宋体"/>
                <w:szCs w:val="21"/>
                <w:highlight w:val="none"/>
              </w:rPr>
              <w:t>原始分值</w:t>
            </w:r>
          </w:p>
        </w:tc>
        <w:tc>
          <w:tcPr>
            <w:tcW w:w="4292" w:type="dxa"/>
            <w:vAlign w:val="center"/>
          </w:tcPr>
          <w:p w14:paraId="5B6090B2">
            <w:pPr>
              <w:spacing w:before="100" w:after="100"/>
              <w:jc w:val="left"/>
              <w:rPr>
                <w:rFonts w:hint="eastAsia" w:ascii="宋体" w:hAnsi="宋体" w:cs="宋体"/>
                <w:szCs w:val="21"/>
                <w:highlight w:val="none"/>
              </w:rPr>
            </w:pPr>
            <w:r>
              <w:rPr>
                <w:rFonts w:hint="eastAsia" w:ascii="宋体" w:hAnsi="宋体" w:cs="宋体"/>
                <w:szCs w:val="21"/>
                <w:highlight w:val="none"/>
              </w:rPr>
              <w:t>考核细则</w:t>
            </w:r>
          </w:p>
        </w:tc>
        <w:tc>
          <w:tcPr>
            <w:tcW w:w="788" w:type="dxa"/>
            <w:vAlign w:val="center"/>
          </w:tcPr>
          <w:p w14:paraId="229BE125">
            <w:pPr>
              <w:spacing w:before="100" w:after="100"/>
              <w:jc w:val="left"/>
              <w:rPr>
                <w:rFonts w:hint="eastAsia" w:ascii="宋体" w:hAnsi="宋体" w:cs="宋体"/>
                <w:szCs w:val="21"/>
                <w:highlight w:val="none"/>
              </w:rPr>
            </w:pPr>
            <w:r>
              <w:rPr>
                <w:rFonts w:hint="eastAsia" w:ascii="宋体" w:hAnsi="宋体" w:cs="宋体"/>
                <w:szCs w:val="21"/>
                <w:highlight w:val="none"/>
              </w:rPr>
              <w:t>得分</w:t>
            </w:r>
          </w:p>
        </w:tc>
      </w:tr>
      <w:tr w14:paraId="4262E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tcPr>
          <w:p w14:paraId="49DAF1A2">
            <w:pPr>
              <w:spacing w:before="100" w:after="100"/>
              <w:jc w:val="left"/>
              <w:rPr>
                <w:rFonts w:hint="eastAsia" w:ascii="宋体" w:hAnsi="宋体" w:cs="宋体"/>
                <w:b/>
                <w:bCs/>
                <w:szCs w:val="21"/>
                <w:highlight w:val="none"/>
              </w:rPr>
            </w:pPr>
            <w:r>
              <w:rPr>
                <w:rFonts w:hint="eastAsia" w:ascii="宋体" w:hAnsi="宋体" w:cs="宋体"/>
                <w:b/>
                <w:bCs/>
                <w:szCs w:val="21"/>
                <w:highlight w:val="none"/>
              </w:rPr>
              <w:t>一</w:t>
            </w:r>
          </w:p>
        </w:tc>
        <w:tc>
          <w:tcPr>
            <w:tcW w:w="2338" w:type="dxa"/>
          </w:tcPr>
          <w:p w14:paraId="6F74B0E9">
            <w:pPr>
              <w:spacing w:before="100" w:after="100"/>
              <w:jc w:val="left"/>
              <w:rPr>
                <w:rFonts w:hint="eastAsia" w:ascii="宋体" w:hAnsi="宋体" w:cs="宋体"/>
                <w:b/>
                <w:bCs/>
                <w:szCs w:val="21"/>
                <w:highlight w:val="none"/>
              </w:rPr>
            </w:pPr>
            <w:r>
              <w:rPr>
                <w:rFonts w:hint="eastAsia" w:ascii="宋体" w:hAnsi="宋体" w:cs="宋体"/>
                <w:b/>
                <w:bCs/>
                <w:szCs w:val="21"/>
                <w:highlight w:val="none"/>
              </w:rPr>
              <w:t>人员及到位</w:t>
            </w:r>
          </w:p>
        </w:tc>
        <w:tc>
          <w:tcPr>
            <w:tcW w:w="1075" w:type="dxa"/>
          </w:tcPr>
          <w:p w14:paraId="6AB3CB69">
            <w:pPr>
              <w:spacing w:before="100" w:after="100"/>
              <w:jc w:val="left"/>
              <w:rPr>
                <w:rFonts w:hint="eastAsia" w:ascii="宋体" w:hAnsi="宋体" w:cs="宋体"/>
                <w:b/>
                <w:bCs/>
                <w:szCs w:val="21"/>
                <w:highlight w:val="none"/>
              </w:rPr>
            </w:pPr>
            <w:r>
              <w:rPr>
                <w:rFonts w:hint="eastAsia" w:ascii="宋体" w:hAnsi="宋体" w:cs="宋体"/>
                <w:b/>
                <w:bCs/>
                <w:szCs w:val="21"/>
                <w:highlight w:val="none"/>
              </w:rPr>
              <w:t>20</w:t>
            </w:r>
          </w:p>
        </w:tc>
        <w:tc>
          <w:tcPr>
            <w:tcW w:w="4292" w:type="dxa"/>
          </w:tcPr>
          <w:p w14:paraId="0E8F6339">
            <w:pPr>
              <w:spacing w:before="100" w:after="100"/>
              <w:jc w:val="left"/>
              <w:rPr>
                <w:rFonts w:hint="eastAsia" w:ascii="宋体" w:hAnsi="宋体" w:cs="宋体"/>
                <w:b/>
                <w:bCs/>
                <w:szCs w:val="21"/>
                <w:highlight w:val="none"/>
              </w:rPr>
            </w:pPr>
          </w:p>
        </w:tc>
        <w:tc>
          <w:tcPr>
            <w:tcW w:w="788" w:type="dxa"/>
          </w:tcPr>
          <w:p w14:paraId="2DDE40A6">
            <w:pPr>
              <w:spacing w:before="100" w:after="100"/>
              <w:jc w:val="left"/>
              <w:rPr>
                <w:rFonts w:hint="eastAsia" w:ascii="宋体" w:hAnsi="宋体" w:cs="宋体"/>
                <w:szCs w:val="21"/>
                <w:highlight w:val="none"/>
              </w:rPr>
            </w:pPr>
          </w:p>
        </w:tc>
      </w:tr>
      <w:tr w14:paraId="2A72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756" w:type="dxa"/>
            <w:vAlign w:val="center"/>
          </w:tcPr>
          <w:p w14:paraId="67B64B0C">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5769EC8A">
            <w:pPr>
              <w:spacing w:before="100" w:after="100"/>
              <w:jc w:val="left"/>
              <w:rPr>
                <w:rFonts w:hint="eastAsia" w:ascii="宋体" w:hAnsi="宋体" w:cs="宋体"/>
                <w:szCs w:val="21"/>
                <w:highlight w:val="none"/>
              </w:rPr>
            </w:pPr>
            <w:r>
              <w:rPr>
                <w:rFonts w:hint="eastAsia" w:ascii="宋体" w:hAnsi="宋体" w:cs="宋体"/>
                <w:szCs w:val="21"/>
                <w:highlight w:val="none"/>
              </w:rPr>
              <w:t>到岗履职</w:t>
            </w:r>
          </w:p>
        </w:tc>
        <w:tc>
          <w:tcPr>
            <w:tcW w:w="1075" w:type="dxa"/>
            <w:vAlign w:val="center"/>
          </w:tcPr>
          <w:p w14:paraId="15A45A87">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5D31B233">
            <w:pPr>
              <w:spacing w:before="100" w:after="100"/>
              <w:jc w:val="left"/>
              <w:rPr>
                <w:rFonts w:hint="eastAsia" w:ascii="宋体" w:hAnsi="宋体" w:cs="宋体"/>
                <w:szCs w:val="21"/>
                <w:highlight w:val="none"/>
              </w:rPr>
            </w:pPr>
            <w:r>
              <w:rPr>
                <w:rFonts w:hint="eastAsia" w:ascii="宋体" w:hAnsi="宋体" w:cs="宋体"/>
                <w:szCs w:val="21"/>
                <w:highlight w:val="none"/>
              </w:rPr>
              <w:t>第三方审计单位人员（下称审计人员）无故缺岗、离岗，在承诺到场时间期间，被抽查发现未在岗的，主审扣2分/次，助审扣1分/次。审计人员离职后不上报的，扣5分/次。</w:t>
            </w:r>
          </w:p>
        </w:tc>
        <w:tc>
          <w:tcPr>
            <w:tcW w:w="788" w:type="dxa"/>
            <w:vAlign w:val="center"/>
          </w:tcPr>
          <w:p w14:paraId="568E4177">
            <w:pPr>
              <w:spacing w:before="100" w:after="100"/>
              <w:jc w:val="left"/>
              <w:rPr>
                <w:rFonts w:hint="eastAsia" w:ascii="宋体" w:hAnsi="宋体" w:cs="宋体"/>
                <w:szCs w:val="21"/>
                <w:highlight w:val="none"/>
              </w:rPr>
            </w:pPr>
          </w:p>
        </w:tc>
      </w:tr>
      <w:tr w14:paraId="67CA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186360E">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14D4695E">
            <w:pPr>
              <w:spacing w:before="100" w:after="100"/>
              <w:jc w:val="left"/>
              <w:rPr>
                <w:rFonts w:hint="eastAsia" w:ascii="宋体" w:hAnsi="宋体" w:cs="宋体"/>
                <w:szCs w:val="21"/>
                <w:highlight w:val="none"/>
              </w:rPr>
            </w:pPr>
            <w:r>
              <w:rPr>
                <w:rFonts w:hint="eastAsia" w:ascii="宋体" w:hAnsi="宋体" w:cs="宋体"/>
                <w:szCs w:val="21"/>
                <w:highlight w:val="none"/>
              </w:rPr>
              <w:t>工程例会</w:t>
            </w:r>
          </w:p>
        </w:tc>
        <w:tc>
          <w:tcPr>
            <w:tcW w:w="1075" w:type="dxa"/>
            <w:vAlign w:val="center"/>
          </w:tcPr>
          <w:p w14:paraId="33DAEA0E">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7051F52F">
            <w:pPr>
              <w:spacing w:before="100" w:after="100"/>
              <w:jc w:val="left"/>
              <w:rPr>
                <w:rFonts w:hint="eastAsia" w:ascii="宋体" w:hAnsi="宋体" w:cs="宋体"/>
                <w:szCs w:val="21"/>
                <w:highlight w:val="none"/>
              </w:rPr>
            </w:pPr>
            <w:r>
              <w:rPr>
                <w:rFonts w:hint="eastAsia" w:ascii="宋体" w:hAnsi="宋体" w:cs="宋体"/>
                <w:szCs w:val="21"/>
                <w:highlight w:val="none"/>
              </w:rPr>
              <w:t>计量会议、技术交流会、需审计人员参加的工程协调会、其它一些对工程造价有影响的技术碰头会及变更、增加、隐蔽工程会同测量等重要环节，审计人员无故未能组织或参加的，主审扣2分/次，助审扣1分/次。</w:t>
            </w:r>
          </w:p>
        </w:tc>
        <w:tc>
          <w:tcPr>
            <w:tcW w:w="788" w:type="dxa"/>
            <w:vAlign w:val="center"/>
          </w:tcPr>
          <w:p w14:paraId="13380952">
            <w:pPr>
              <w:spacing w:before="100" w:after="100"/>
              <w:jc w:val="left"/>
              <w:rPr>
                <w:rFonts w:hint="eastAsia" w:ascii="宋体" w:hAnsi="宋体" w:cs="宋体"/>
                <w:szCs w:val="21"/>
                <w:highlight w:val="none"/>
              </w:rPr>
            </w:pPr>
          </w:p>
        </w:tc>
      </w:tr>
      <w:tr w14:paraId="2475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603B4DF">
            <w:pPr>
              <w:spacing w:before="100" w:after="100"/>
              <w:jc w:val="left"/>
              <w:rPr>
                <w:rFonts w:hint="eastAsia" w:ascii="宋体" w:hAnsi="宋体" w:cs="宋体"/>
                <w:b/>
                <w:bCs/>
                <w:szCs w:val="21"/>
                <w:highlight w:val="none"/>
              </w:rPr>
            </w:pPr>
            <w:r>
              <w:rPr>
                <w:rFonts w:hint="eastAsia" w:ascii="宋体" w:hAnsi="宋体" w:cs="宋体"/>
                <w:b/>
                <w:bCs/>
                <w:szCs w:val="21"/>
                <w:highlight w:val="none"/>
              </w:rPr>
              <w:t>二</w:t>
            </w:r>
          </w:p>
        </w:tc>
        <w:tc>
          <w:tcPr>
            <w:tcW w:w="2338" w:type="dxa"/>
            <w:vAlign w:val="center"/>
          </w:tcPr>
          <w:p w14:paraId="673EC5EC">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审计进度和时效要求</w:t>
            </w:r>
          </w:p>
        </w:tc>
        <w:tc>
          <w:tcPr>
            <w:tcW w:w="1075" w:type="dxa"/>
            <w:vAlign w:val="center"/>
          </w:tcPr>
          <w:p w14:paraId="6E3BD2B0">
            <w:pPr>
              <w:spacing w:before="100" w:after="100"/>
              <w:jc w:val="left"/>
              <w:rPr>
                <w:rFonts w:hint="eastAsia" w:ascii="宋体" w:hAnsi="宋体" w:cs="宋体"/>
                <w:b/>
                <w:bCs/>
                <w:szCs w:val="21"/>
                <w:highlight w:val="none"/>
              </w:rPr>
            </w:pPr>
            <w:r>
              <w:rPr>
                <w:rFonts w:hint="eastAsia" w:ascii="宋体" w:hAnsi="宋体" w:cs="宋体"/>
                <w:b/>
                <w:bCs/>
                <w:szCs w:val="21"/>
                <w:highlight w:val="none"/>
              </w:rPr>
              <w:t>15</w:t>
            </w:r>
          </w:p>
        </w:tc>
        <w:tc>
          <w:tcPr>
            <w:tcW w:w="4292" w:type="dxa"/>
            <w:vAlign w:val="center"/>
          </w:tcPr>
          <w:p w14:paraId="080E8F9E">
            <w:pPr>
              <w:spacing w:before="100" w:after="100"/>
              <w:jc w:val="left"/>
              <w:rPr>
                <w:rFonts w:hint="eastAsia" w:ascii="宋体" w:hAnsi="宋体" w:cs="宋体"/>
                <w:b/>
                <w:bCs/>
                <w:szCs w:val="21"/>
                <w:highlight w:val="none"/>
              </w:rPr>
            </w:pPr>
          </w:p>
        </w:tc>
        <w:tc>
          <w:tcPr>
            <w:tcW w:w="788" w:type="dxa"/>
            <w:vAlign w:val="center"/>
          </w:tcPr>
          <w:p w14:paraId="31A8669C">
            <w:pPr>
              <w:spacing w:before="100" w:after="100"/>
              <w:jc w:val="left"/>
              <w:rPr>
                <w:rFonts w:hint="eastAsia" w:ascii="宋体" w:hAnsi="宋体" w:cs="宋体"/>
                <w:b/>
                <w:bCs/>
                <w:szCs w:val="21"/>
                <w:highlight w:val="none"/>
              </w:rPr>
            </w:pPr>
          </w:p>
        </w:tc>
      </w:tr>
      <w:tr w14:paraId="7BF0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DCE306A">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2A2431AB">
            <w:pPr>
              <w:spacing w:before="100" w:after="100"/>
              <w:jc w:val="left"/>
              <w:rPr>
                <w:rFonts w:hint="eastAsia" w:ascii="宋体" w:hAnsi="宋体" w:cs="宋体"/>
                <w:szCs w:val="21"/>
                <w:highlight w:val="none"/>
              </w:rPr>
            </w:pPr>
            <w:r>
              <w:rPr>
                <w:rFonts w:hint="eastAsia" w:ascii="宋体" w:hAnsi="宋体" w:cs="宋体"/>
                <w:szCs w:val="21"/>
                <w:highlight w:val="none"/>
              </w:rPr>
              <w:t>资料要求</w:t>
            </w:r>
          </w:p>
        </w:tc>
        <w:tc>
          <w:tcPr>
            <w:tcW w:w="1075" w:type="dxa"/>
            <w:vAlign w:val="center"/>
          </w:tcPr>
          <w:p w14:paraId="49923AD2">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09E771FE">
            <w:pPr>
              <w:spacing w:before="100" w:after="100"/>
              <w:jc w:val="left"/>
              <w:rPr>
                <w:rFonts w:hint="eastAsia" w:ascii="宋体" w:hAnsi="宋体" w:cs="宋体"/>
                <w:szCs w:val="21"/>
                <w:highlight w:val="none"/>
              </w:rPr>
            </w:pPr>
            <w:r>
              <w:rPr>
                <w:rFonts w:hint="eastAsia" w:ascii="宋体" w:hAnsi="宋体" w:cs="宋体"/>
                <w:szCs w:val="21"/>
                <w:highlight w:val="none"/>
              </w:rPr>
              <w:t>审计进点后未能及时梳理有关资料、未能及时反映梳理情况扣1分/处。审计过程中审计人员未经建设单位同意，单方面接收施工单位提供的补充资料，视情况，扣1～5分/次。</w:t>
            </w:r>
          </w:p>
        </w:tc>
        <w:tc>
          <w:tcPr>
            <w:tcW w:w="788" w:type="dxa"/>
            <w:vAlign w:val="center"/>
          </w:tcPr>
          <w:p w14:paraId="0F0CDFBD">
            <w:pPr>
              <w:spacing w:before="100" w:after="100"/>
              <w:jc w:val="left"/>
              <w:rPr>
                <w:rFonts w:hint="eastAsia" w:ascii="宋体" w:hAnsi="宋体" w:cs="宋体"/>
                <w:szCs w:val="21"/>
                <w:highlight w:val="none"/>
              </w:rPr>
            </w:pPr>
          </w:p>
        </w:tc>
      </w:tr>
      <w:tr w14:paraId="5548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344EDC2">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4661F7FA">
            <w:pPr>
              <w:spacing w:before="100" w:after="100"/>
              <w:jc w:val="left"/>
              <w:rPr>
                <w:rFonts w:hint="eastAsia" w:ascii="宋体" w:hAnsi="宋体" w:cs="宋体"/>
                <w:szCs w:val="21"/>
                <w:highlight w:val="none"/>
              </w:rPr>
            </w:pPr>
            <w:r>
              <w:rPr>
                <w:rFonts w:hint="eastAsia" w:ascii="宋体" w:hAnsi="宋体" w:cs="宋体"/>
                <w:szCs w:val="21"/>
                <w:highlight w:val="none"/>
              </w:rPr>
              <w:t>进度要求</w:t>
            </w:r>
          </w:p>
        </w:tc>
        <w:tc>
          <w:tcPr>
            <w:tcW w:w="1075" w:type="dxa"/>
            <w:vAlign w:val="center"/>
          </w:tcPr>
          <w:p w14:paraId="37731D1E">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5630E5EF">
            <w:pPr>
              <w:spacing w:before="100" w:after="100"/>
              <w:jc w:val="left"/>
              <w:rPr>
                <w:rFonts w:hint="eastAsia" w:ascii="宋体" w:hAnsi="宋体" w:cs="宋体"/>
                <w:szCs w:val="21"/>
                <w:highlight w:val="none"/>
              </w:rPr>
            </w:pPr>
            <w:r>
              <w:rPr>
                <w:rFonts w:hint="eastAsia" w:ascii="宋体" w:hAnsi="宋体" w:cs="宋体"/>
                <w:szCs w:val="21"/>
                <w:highlight w:val="none"/>
              </w:rPr>
              <w:t>第三方审计单位（下称审计单位）未按约定时间、地点如期组织对账，或未有经参与方签字确认的审勘记录，扣1分/次。</w:t>
            </w:r>
          </w:p>
        </w:tc>
        <w:tc>
          <w:tcPr>
            <w:tcW w:w="788" w:type="dxa"/>
            <w:vAlign w:val="center"/>
          </w:tcPr>
          <w:p w14:paraId="2CF1DA17">
            <w:pPr>
              <w:spacing w:before="100" w:after="100"/>
              <w:jc w:val="left"/>
              <w:rPr>
                <w:rFonts w:hint="eastAsia" w:ascii="宋体" w:hAnsi="宋体" w:cs="宋体"/>
                <w:szCs w:val="21"/>
                <w:highlight w:val="none"/>
              </w:rPr>
            </w:pPr>
          </w:p>
        </w:tc>
      </w:tr>
      <w:tr w14:paraId="1347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8F5D7A5">
            <w:pPr>
              <w:spacing w:before="100" w:after="100"/>
              <w:jc w:val="left"/>
              <w:rPr>
                <w:rFonts w:hint="eastAsia" w:ascii="宋体" w:hAnsi="宋体" w:cs="宋体"/>
                <w:szCs w:val="21"/>
                <w:highlight w:val="none"/>
              </w:rPr>
            </w:pPr>
            <w:r>
              <w:rPr>
                <w:rFonts w:hint="eastAsia" w:ascii="宋体" w:hAnsi="宋体" w:cs="宋体"/>
                <w:szCs w:val="21"/>
                <w:highlight w:val="none"/>
              </w:rPr>
              <w:t>3</w:t>
            </w:r>
          </w:p>
        </w:tc>
        <w:tc>
          <w:tcPr>
            <w:tcW w:w="2338" w:type="dxa"/>
            <w:vAlign w:val="center"/>
          </w:tcPr>
          <w:p w14:paraId="6A5EC1A9">
            <w:pPr>
              <w:spacing w:before="100" w:after="100"/>
              <w:jc w:val="left"/>
              <w:rPr>
                <w:rFonts w:hint="eastAsia" w:ascii="宋体" w:hAnsi="宋体" w:cs="宋体"/>
                <w:szCs w:val="21"/>
                <w:highlight w:val="none"/>
              </w:rPr>
            </w:pPr>
            <w:r>
              <w:rPr>
                <w:rFonts w:hint="eastAsia" w:ascii="宋体" w:hAnsi="宋体" w:cs="宋体"/>
                <w:szCs w:val="21"/>
                <w:highlight w:val="none"/>
              </w:rPr>
              <w:t>时效要求</w:t>
            </w:r>
          </w:p>
        </w:tc>
        <w:tc>
          <w:tcPr>
            <w:tcW w:w="1075" w:type="dxa"/>
            <w:vAlign w:val="center"/>
          </w:tcPr>
          <w:p w14:paraId="50385FBD">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1DBDAC5B">
            <w:pPr>
              <w:spacing w:before="100" w:after="100"/>
              <w:jc w:val="left"/>
              <w:rPr>
                <w:rFonts w:hint="eastAsia" w:ascii="宋体" w:hAnsi="宋体" w:cs="宋体"/>
                <w:szCs w:val="21"/>
                <w:highlight w:val="none"/>
              </w:rPr>
            </w:pPr>
            <w:r>
              <w:rPr>
                <w:rFonts w:hint="eastAsia" w:ascii="宋体" w:hAnsi="宋体" w:cs="宋体"/>
                <w:szCs w:val="21"/>
                <w:highlight w:val="none"/>
              </w:rPr>
              <w:t>审计人员未能在计划时间内完成或提交有关资料和报告，如初审资料、审核单、审定单、审核报告及完整的归档资料等，扣1分/天，有特殊情况应提前用书面形式说明原因，并向建设单位申请延期。</w:t>
            </w:r>
          </w:p>
        </w:tc>
        <w:tc>
          <w:tcPr>
            <w:tcW w:w="788" w:type="dxa"/>
            <w:vAlign w:val="center"/>
          </w:tcPr>
          <w:p w14:paraId="1089D89B">
            <w:pPr>
              <w:spacing w:before="100" w:after="100"/>
              <w:jc w:val="left"/>
              <w:rPr>
                <w:rFonts w:hint="eastAsia" w:ascii="宋体" w:hAnsi="宋体" w:cs="宋体"/>
                <w:szCs w:val="21"/>
                <w:highlight w:val="none"/>
              </w:rPr>
            </w:pPr>
          </w:p>
        </w:tc>
      </w:tr>
      <w:tr w14:paraId="32AC7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7F88096">
            <w:pPr>
              <w:spacing w:before="100" w:after="100"/>
              <w:jc w:val="left"/>
              <w:rPr>
                <w:rFonts w:hint="eastAsia" w:ascii="宋体" w:hAnsi="宋体" w:cs="宋体"/>
                <w:b/>
                <w:bCs/>
                <w:szCs w:val="21"/>
                <w:highlight w:val="none"/>
              </w:rPr>
            </w:pPr>
            <w:r>
              <w:rPr>
                <w:rFonts w:hint="eastAsia" w:ascii="宋体" w:hAnsi="宋体" w:cs="宋体"/>
                <w:b/>
                <w:bCs/>
                <w:szCs w:val="21"/>
                <w:highlight w:val="none"/>
              </w:rPr>
              <w:t>三</w:t>
            </w:r>
          </w:p>
        </w:tc>
        <w:tc>
          <w:tcPr>
            <w:tcW w:w="2338" w:type="dxa"/>
            <w:vAlign w:val="center"/>
          </w:tcPr>
          <w:p w14:paraId="5369C0B3">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审计质量</w:t>
            </w:r>
          </w:p>
        </w:tc>
        <w:tc>
          <w:tcPr>
            <w:tcW w:w="1075" w:type="dxa"/>
            <w:vAlign w:val="center"/>
          </w:tcPr>
          <w:p w14:paraId="1B127470">
            <w:pPr>
              <w:spacing w:before="100" w:after="100"/>
              <w:jc w:val="left"/>
              <w:rPr>
                <w:rFonts w:hint="eastAsia" w:ascii="宋体" w:hAnsi="宋体" w:cs="宋体"/>
                <w:b/>
                <w:bCs/>
                <w:szCs w:val="21"/>
                <w:highlight w:val="none"/>
              </w:rPr>
            </w:pPr>
            <w:r>
              <w:rPr>
                <w:rFonts w:hint="eastAsia" w:ascii="宋体" w:hAnsi="宋体" w:cs="宋体"/>
                <w:b/>
                <w:bCs/>
                <w:szCs w:val="21"/>
                <w:highlight w:val="none"/>
              </w:rPr>
              <w:t>65</w:t>
            </w:r>
          </w:p>
        </w:tc>
        <w:tc>
          <w:tcPr>
            <w:tcW w:w="4292" w:type="dxa"/>
            <w:vAlign w:val="center"/>
          </w:tcPr>
          <w:p w14:paraId="2E09A543">
            <w:pPr>
              <w:spacing w:before="100" w:after="100"/>
              <w:jc w:val="left"/>
              <w:rPr>
                <w:rFonts w:hint="eastAsia" w:ascii="宋体" w:hAnsi="宋体" w:cs="宋体"/>
                <w:b/>
                <w:bCs/>
                <w:szCs w:val="21"/>
                <w:highlight w:val="none"/>
              </w:rPr>
            </w:pPr>
          </w:p>
        </w:tc>
        <w:tc>
          <w:tcPr>
            <w:tcW w:w="788" w:type="dxa"/>
            <w:vAlign w:val="center"/>
          </w:tcPr>
          <w:p w14:paraId="4315B423">
            <w:pPr>
              <w:spacing w:before="100" w:after="100"/>
              <w:jc w:val="left"/>
              <w:rPr>
                <w:rFonts w:hint="eastAsia" w:ascii="宋体" w:hAnsi="宋体" w:cs="宋体"/>
                <w:b/>
                <w:bCs/>
                <w:szCs w:val="21"/>
                <w:highlight w:val="none"/>
              </w:rPr>
            </w:pPr>
          </w:p>
        </w:tc>
      </w:tr>
      <w:tr w14:paraId="3E82F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C617A36">
            <w:pPr>
              <w:spacing w:before="100" w:after="100"/>
              <w:jc w:val="left"/>
              <w:rPr>
                <w:rFonts w:hint="eastAsia" w:ascii="宋体" w:hAnsi="宋体" w:cs="宋体"/>
                <w:b/>
                <w:bCs/>
                <w:szCs w:val="21"/>
                <w:highlight w:val="none"/>
              </w:rPr>
            </w:pPr>
            <w:r>
              <w:rPr>
                <w:rFonts w:hint="eastAsia" w:ascii="宋体" w:hAnsi="宋体" w:cs="宋体"/>
                <w:b/>
                <w:bCs/>
                <w:szCs w:val="21"/>
                <w:highlight w:val="none"/>
              </w:rPr>
              <w:t>（一）</w:t>
            </w:r>
          </w:p>
        </w:tc>
        <w:tc>
          <w:tcPr>
            <w:tcW w:w="2338" w:type="dxa"/>
            <w:vAlign w:val="center"/>
          </w:tcPr>
          <w:p w14:paraId="629A2C14">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审计台账的编制、填写</w:t>
            </w:r>
          </w:p>
        </w:tc>
        <w:tc>
          <w:tcPr>
            <w:tcW w:w="1075" w:type="dxa"/>
            <w:vAlign w:val="center"/>
          </w:tcPr>
          <w:p w14:paraId="4F99D986">
            <w:pPr>
              <w:spacing w:before="100" w:after="100"/>
              <w:jc w:val="left"/>
              <w:rPr>
                <w:rFonts w:hint="eastAsia" w:ascii="宋体" w:hAnsi="宋体" w:cs="宋体"/>
                <w:b/>
                <w:bCs/>
                <w:szCs w:val="21"/>
                <w:highlight w:val="none"/>
              </w:rPr>
            </w:pPr>
            <w:r>
              <w:rPr>
                <w:rFonts w:hint="eastAsia" w:ascii="宋体" w:hAnsi="宋体" w:cs="宋体"/>
                <w:b/>
                <w:bCs/>
                <w:szCs w:val="21"/>
                <w:highlight w:val="none"/>
              </w:rPr>
              <w:t>50</w:t>
            </w:r>
          </w:p>
        </w:tc>
        <w:tc>
          <w:tcPr>
            <w:tcW w:w="4292" w:type="dxa"/>
            <w:vAlign w:val="center"/>
          </w:tcPr>
          <w:p w14:paraId="5C3AD6D9">
            <w:pPr>
              <w:spacing w:before="100" w:after="100"/>
              <w:jc w:val="left"/>
              <w:rPr>
                <w:rFonts w:hint="eastAsia" w:ascii="宋体" w:hAnsi="宋体" w:cs="宋体"/>
                <w:b/>
                <w:bCs/>
                <w:szCs w:val="21"/>
                <w:highlight w:val="none"/>
              </w:rPr>
            </w:pPr>
          </w:p>
        </w:tc>
        <w:tc>
          <w:tcPr>
            <w:tcW w:w="788" w:type="dxa"/>
            <w:vAlign w:val="center"/>
          </w:tcPr>
          <w:p w14:paraId="5851359F">
            <w:pPr>
              <w:spacing w:before="100" w:after="100"/>
              <w:jc w:val="left"/>
              <w:rPr>
                <w:rFonts w:hint="eastAsia" w:ascii="宋体" w:hAnsi="宋体" w:cs="宋体"/>
                <w:b/>
                <w:bCs/>
                <w:szCs w:val="21"/>
                <w:highlight w:val="none"/>
              </w:rPr>
            </w:pPr>
          </w:p>
        </w:tc>
      </w:tr>
      <w:tr w14:paraId="25D4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19AC983">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6A317E7A">
            <w:pPr>
              <w:spacing w:before="100" w:after="100"/>
              <w:jc w:val="left"/>
              <w:rPr>
                <w:rFonts w:hint="eastAsia" w:ascii="宋体" w:hAnsi="宋体" w:cs="宋体"/>
                <w:szCs w:val="21"/>
                <w:highlight w:val="none"/>
              </w:rPr>
            </w:pPr>
            <w:r>
              <w:rPr>
                <w:rFonts w:hint="eastAsia" w:ascii="宋体" w:hAnsi="宋体" w:cs="宋体"/>
                <w:szCs w:val="21"/>
                <w:highlight w:val="none"/>
              </w:rPr>
              <w:t>审计实施方案</w:t>
            </w:r>
          </w:p>
        </w:tc>
        <w:tc>
          <w:tcPr>
            <w:tcW w:w="1075" w:type="dxa"/>
            <w:vAlign w:val="center"/>
          </w:tcPr>
          <w:p w14:paraId="07CE1100">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4292" w:type="dxa"/>
            <w:vAlign w:val="center"/>
          </w:tcPr>
          <w:p w14:paraId="076ED816">
            <w:pPr>
              <w:spacing w:before="100" w:after="100"/>
              <w:jc w:val="left"/>
              <w:rPr>
                <w:rFonts w:hint="eastAsia" w:ascii="宋体" w:hAnsi="宋体" w:cs="宋体"/>
                <w:szCs w:val="21"/>
                <w:highlight w:val="none"/>
              </w:rPr>
            </w:pPr>
            <w:r>
              <w:rPr>
                <w:rFonts w:hint="eastAsia" w:ascii="宋体" w:hAnsi="宋体" w:cs="宋体"/>
                <w:szCs w:val="21"/>
                <w:highlight w:val="none"/>
              </w:rPr>
              <w:t>根据审计项目的特点及具体情况，编制切实可行、具有指导意义的审计实施方案，并报审计单位负责人批准后，送建设单位审核，审计实施方案中出现明显差错的，扣1分/处。</w:t>
            </w:r>
          </w:p>
        </w:tc>
        <w:tc>
          <w:tcPr>
            <w:tcW w:w="788" w:type="dxa"/>
            <w:vAlign w:val="center"/>
          </w:tcPr>
          <w:p w14:paraId="4264887A">
            <w:pPr>
              <w:spacing w:before="100" w:after="100"/>
              <w:jc w:val="left"/>
              <w:rPr>
                <w:rFonts w:hint="eastAsia" w:ascii="宋体" w:hAnsi="宋体" w:cs="宋体"/>
                <w:szCs w:val="21"/>
                <w:highlight w:val="none"/>
              </w:rPr>
            </w:pPr>
          </w:p>
        </w:tc>
      </w:tr>
      <w:tr w14:paraId="4FF2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65E1D745">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240C6EF9">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审计周报、月报</w:t>
            </w:r>
          </w:p>
        </w:tc>
        <w:tc>
          <w:tcPr>
            <w:tcW w:w="1075" w:type="dxa"/>
            <w:vAlign w:val="center"/>
          </w:tcPr>
          <w:p w14:paraId="0C0A186F">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5</w:t>
            </w:r>
          </w:p>
        </w:tc>
        <w:tc>
          <w:tcPr>
            <w:tcW w:w="4292" w:type="dxa"/>
            <w:vAlign w:val="center"/>
          </w:tcPr>
          <w:p w14:paraId="7A5802DB">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审计单位根据实际开展的审计工作，按时间顺序编写审计周报、月报,并于当周五17点前提交建设单位审计周报、于当月25日前提交审计月报，不符合要求扣1分/次；对审计过程中发现、提出的问题及有关处理方法、处理结果未及时上报的扣1分/处；若该事项由建设单位提出，视重要程度扣1～5分/次。</w:t>
            </w:r>
          </w:p>
        </w:tc>
        <w:tc>
          <w:tcPr>
            <w:tcW w:w="788" w:type="dxa"/>
            <w:vAlign w:val="center"/>
          </w:tcPr>
          <w:p w14:paraId="1D729607">
            <w:pPr>
              <w:spacing w:before="100" w:after="100"/>
              <w:jc w:val="left"/>
              <w:rPr>
                <w:rFonts w:hint="eastAsia" w:ascii="宋体" w:hAnsi="宋体" w:cs="宋体"/>
                <w:szCs w:val="21"/>
                <w:highlight w:val="none"/>
              </w:rPr>
            </w:pPr>
          </w:p>
        </w:tc>
      </w:tr>
      <w:tr w14:paraId="67852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F1EEB01">
            <w:pPr>
              <w:spacing w:before="100" w:after="100"/>
              <w:jc w:val="left"/>
              <w:rPr>
                <w:rFonts w:hint="eastAsia" w:ascii="宋体" w:hAnsi="宋体" w:cs="宋体"/>
                <w:szCs w:val="21"/>
                <w:highlight w:val="none"/>
              </w:rPr>
            </w:pPr>
            <w:r>
              <w:rPr>
                <w:rFonts w:hint="eastAsia" w:ascii="宋体" w:hAnsi="宋体" w:cs="宋体"/>
                <w:szCs w:val="21"/>
                <w:highlight w:val="none"/>
              </w:rPr>
              <w:t>3</w:t>
            </w:r>
          </w:p>
        </w:tc>
        <w:tc>
          <w:tcPr>
            <w:tcW w:w="2338" w:type="dxa"/>
            <w:vAlign w:val="center"/>
          </w:tcPr>
          <w:p w14:paraId="002A3A31">
            <w:pPr>
              <w:spacing w:before="100" w:after="100"/>
              <w:jc w:val="left"/>
              <w:rPr>
                <w:rFonts w:hint="eastAsia" w:ascii="宋体" w:hAnsi="宋体" w:cs="宋体"/>
                <w:szCs w:val="21"/>
                <w:highlight w:val="none"/>
              </w:rPr>
            </w:pPr>
            <w:r>
              <w:rPr>
                <w:rFonts w:hint="eastAsia" w:ascii="宋体" w:hAnsi="宋体" w:cs="宋体"/>
                <w:szCs w:val="21"/>
                <w:highlight w:val="none"/>
              </w:rPr>
              <w:t>意见单</w:t>
            </w:r>
          </w:p>
        </w:tc>
        <w:tc>
          <w:tcPr>
            <w:tcW w:w="1075" w:type="dxa"/>
            <w:vAlign w:val="center"/>
          </w:tcPr>
          <w:p w14:paraId="6F071F72">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7F4E5AB6">
            <w:pPr>
              <w:spacing w:before="100" w:after="100"/>
              <w:jc w:val="left"/>
              <w:rPr>
                <w:rFonts w:hint="eastAsia" w:ascii="宋体" w:hAnsi="宋体" w:cs="宋体"/>
                <w:szCs w:val="21"/>
                <w:highlight w:val="none"/>
              </w:rPr>
            </w:pPr>
            <w:r>
              <w:rPr>
                <w:rFonts w:hint="eastAsia" w:ascii="宋体" w:hAnsi="宋体" w:cs="宋体"/>
                <w:szCs w:val="21"/>
                <w:highlight w:val="none"/>
              </w:rPr>
              <w:t>审计单位在审计过程中发现的各类问题应及时向建设单位汇报，以意见单（按时间编号）向施工单位反映，并要求及时回复;对不能及时回复的，应在随后的审计月报中记载说明。若审计单位未按要求做到，扣1分/处；若各类问题被建设单位发现，存在故意隐瞒不报的，则视问题的严重程度，扣2～10分/处。</w:t>
            </w:r>
          </w:p>
        </w:tc>
        <w:tc>
          <w:tcPr>
            <w:tcW w:w="788" w:type="dxa"/>
            <w:vAlign w:val="center"/>
          </w:tcPr>
          <w:p w14:paraId="7BFB01E8">
            <w:pPr>
              <w:spacing w:before="100" w:after="100"/>
              <w:jc w:val="left"/>
              <w:rPr>
                <w:rFonts w:hint="eastAsia" w:ascii="宋体" w:hAnsi="宋体" w:cs="宋体"/>
                <w:szCs w:val="21"/>
                <w:highlight w:val="none"/>
              </w:rPr>
            </w:pPr>
          </w:p>
        </w:tc>
      </w:tr>
      <w:tr w14:paraId="035B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799BE134">
            <w:pPr>
              <w:spacing w:before="100" w:after="100"/>
              <w:jc w:val="left"/>
              <w:rPr>
                <w:rFonts w:hint="eastAsia" w:ascii="宋体" w:hAnsi="宋体" w:cs="宋体"/>
                <w:szCs w:val="21"/>
                <w:highlight w:val="none"/>
              </w:rPr>
            </w:pPr>
            <w:r>
              <w:rPr>
                <w:rFonts w:hint="eastAsia" w:ascii="宋体" w:hAnsi="宋体" w:cs="宋体"/>
                <w:szCs w:val="21"/>
                <w:highlight w:val="none"/>
              </w:rPr>
              <w:t>4</w:t>
            </w:r>
          </w:p>
        </w:tc>
        <w:tc>
          <w:tcPr>
            <w:tcW w:w="2338" w:type="dxa"/>
            <w:vAlign w:val="center"/>
          </w:tcPr>
          <w:p w14:paraId="6C1B88EA">
            <w:pPr>
              <w:spacing w:before="100" w:after="100"/>
              <w:jc w:val="left"/>
              <w:rPr>
                <w:rFonts w:hint="eastAsia" w:ascii="宋体" w:hAnsi="宋体" w:cs="宋体"/>
                <w:szCs w:val="21"/>
                <w:highlight w:val="none"/>
              </w:rPr>
            </w:pPr>
            <w:r>
              <w:rPr>
                <w:rFonts w:hint="eastAsia" w:ascii="宋体" w:hAnsi="宋体" w:cs="宋体"/>
                <w:szCs w:val="21"/>
                <w:highlight w:val="none"/>
              </w:rPr>
              <w:t>工程计量、设备材料认质认价</w:t>
            </w:r>
          </w:p>
        </w:tc>
        <w:tc>
          <w:tcPr>
            <w:tcW w:w="1075" w:type="dxa"/>
            <w:vAlign w:val="center"/>
          </w:tcPr>
          <w:p w14:paraId="7760711D">
            <w:pPr>
              <w:spacing w:before="100" w:after="100"/>
              <w:jc w:val="left"/>
              <w:rPr>
                <w:rFonts w:hint="eastAsia" w:ascii="宋体" w:hAnsi="宋体" w:cs="宋体"/>
                <w:szCs w:val="21"/>
                <w:highlight w:val="none"/>
              </w:rPr>
            </w:pPr>
            <w:r>
              <w:rPr>
                <w:rFonts w:hint="eastAsia" w:ascii="宋体" w:hAnsi="宋体" w:cs="宋体"/>
                <w:szCs w:val="21"/>
                <w:highlight w:val="none"/>
              </w:rPr>
              <w:t>20</w:t>
            </w:r>
          </w:p>
        </w:tc>
        <w:tc>
          <w:tcPr>
            <w:tcW w:w="4292" w:type="dxa"/>
            <w:vAlign w:val="center"/>
          </w:tcPr>
          <w:p w14:paraId="49E06C55">
            <w:pPr>
              <w:spacing w:before="100" w:after="100"/>
              <w:jc w:val="left"/>
              <w:rPr>
                <w:rFonts w:hint="eastAsia" w:ascii="宋体" w:hAnsi="宋体" w:cs="宋体"/>
                <w:szCs w:val="21"/>
                <w:highlight w:val="none"/>
              </w:rPr>
            </w:pPr>
            <w:r>
              <w:rPr>
                <w:rFonts w:hint="eastAsia" w:ascii="宋体" w:hAnsi="宋体" w:cs="宋体"/>
                <w:szCs w:val="21"/>
                <w:highlight w:val="none"/>
              </w:rPr>
              <w:t>审计人员应及时对工程量进行见证计量、设备材料进行认质认价工作，工作时应保留影像资料，工程量计量单附详细计算式，认质认价单附设备材料详细参数，签证必须签署实质性意见，于五天内提交建设单位，对于不及时提交或者意见不明确，计量、认质认价有差错的，计量、认质认价前不通知建设单位内审的，视情节轻重扣1～5分/事项.</w:t>
            </w:r>
          </w:p>
        </w:tc>
        <w:tc>
          <w:tcPr>
            <w:tcW w:w="788" w:type="dxa"/>
            <w:vAlign w:val="center"/>
          </w:tcPr>
          <w:p w14:paraId="41A8CA07">
            <w:pPr>
              <w:spacing w:before="100" w:after="100"/>
              <w:jc w:val="left"/>
              <w:rPr>
                <w:rFonts w:hint="eastAsia" w:ascii="宋体" w:hAnsi="宋体" w:cs="宋体"/>
                <w:szCs w:val="21"/>
                <w:highlight w:val="none"/>
              </w:rPr>
            </w:pPr>
          </w:p>
        </w:tc>
      </w:tr>
      <w:tr w14:paraId="26B5E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E53DC06">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2338" w:type="dxa"/>
            <w:vAlign w:val="center"/>
          </w:tcPr>
          <w:p w14:paraId="522CC1AC">
            <w:pPr>
              <w:spacing w:before="100" w:after="100"/>
              <w:jc w:val="left"/>
              <w:rPr>
                <w:rFonts w:hint="eastAsia" w:ascii="宋体" w:hAnsi="宋体" w:cs="宋体"/>
                <w:szCs w:val="21"/>
                <w:highlight w:val="none"/>
              </w:rPr>
            </w:pPr>
            <w:r>
              <w:rPr>
                <w:rFonts w:hint="eastAsia" w:ascii="宋体" w:hAnsi="宋体" w:cs="宋体"/>
                <w:szCs w:val="21"/>
                <w:highlight w:val="none"/>
              </w:rPr>
              <w:t>工程增加、变更及签证审核台账等</w:t>
            </w:r>
          </w:p>
        </w:tc>
        <w:tc>
          <w:tcPr>
            <w:tcW w:w="1075" w:type="dxa"/>
            <w:vAlign w:val="center"/>
          </w:tcPr>
          <w:p w14:paraId="1A0EC81E">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441FD834">
            <w:pPr>
              <w:spacing w:before="100" w:after="100"/>
              <w:jc w:val="left"/>
              <w:rPr>
                <w:rFonts w:hint="eastAsia" w:ascii="宋体" w:hAnsi="宋体" w:cs="宋体"/>
                <w:szCs w:val="21"/>
                <w:highlight w:val="none"/>
              </w:rPr>
            </w:pPr>
            <w:r>
              <w:rPr>
                <w:rFonts w:hint="eastAsia" w:ascii="宋体" w:hAnsi="宋体" w:cs="宋体"/>
                <w:szCs w:val="21"/>
                <w:highlight w:val="none"/>
              </w:rPr>
              <w:t>审计人员应及时对工程增加、变更及签证开展审核，并签署实质性意见；对未予审核（非审计人员原因除外）或审核意见不明确、计量有差错的，扣1分/事项,且该事项的结算核减额不计取审计费用。</w:t>
            </w:r>
          </w:p>
        </w:tc>
        <w:tc>
          <w:tcPr>
            <w:tcW w:w="788" w:type="dxa"/>
            <w:vAlign w:val="center"/>
          </w:tcPr>
          <w:p w14:paraId="14B60A4D">
            <w:pPr>
              <w:spacing w:before="100" w:after="100"/>
              <w:jc w:val="left"/>
              <w:rPr>
                <w:rFonts w:hint="eastAsia" w:ascii="宋体" w:hAnsi="宋体" w:cs="宋体"/>
                <w:szCs w:val="21"/>
                <w:highlight w:val="none"/>
              </w:rPr>
            </w:pPr>
          </w:p>
        </w:tc>
      </w:tr>
      <w:tr w14:paraId="6F2E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2AE26999">
            <w:pPr>
              <w:spacing w:before="100" w:after="100"/>
              <w:jc w:val="left"/>
              <w:rPr>
                <w:rFonts w:hint="eastAsia" w:ascii="宋体" w:hAnsi="宋体" w:cs="宋体"/>
                <w:szCs w:val="21"/>
                <w:highlight w:val="none"/>
              </w:rPr>
            </w:pPr>
            <w:r>
              <w:rPr>
                <w:rFonts w:hint="eastAsia" w:ascii="宋体" w:hAnsi="宋体" w:cs="宋体"/>
                <w:szCs w:val="21"/>
                <w:highlight w:val="none"/>
              </w:rPr>
              <w:t>6</w:t>
            </w:r>
          </w:p>
        </w:tc>
        <w:tc>
          <w:tcPr>
            <w:tcW w:w="2338" w:type="dxa"/>
            <w:vAlign w:val="center"/>
          </w:tcPr>
          <w:p w14:paraId="4AF9D15F">
            <w:pPr>
              <w:spacing w:before="100" w:after="100"/>
              <w:jc w:val="left"/>
              <w:rPr>
                <w:rFonts w:hint="eastAsia" w:ascii="宋体" w:hAnsi="宋体" w:cs="宋体"/>
                <w:szCs w:val="21"/>
                <w:highlight w:val="none"/>
              </w:rPr>
            </w:pPr>
            <w:r>
              <w:rPr>
                <w:rFonts w:hint="eastAsia" w:ascii="宋体" w:hAnsi="宋体" w:cs="宋体"/>
                <w:szCs w:val="21"/>
                <w:highlight w:val="none"/>
              </w:rPr>
              <w:t>结算台账</w:t>
            </w:r>
          </w:p>
        </w:tc>
        <w:tc>
          <w:tcPr>
            <w:tcW w:w="1075" w:type="dxa"/>
            <w:vAlign w:val="center"/>
          </w:tcPr>
          <w:p w14:paraId="6CE20B97">
            <w:pPr>
              <w:spacing w:before="100" w:after="100"/>
              <w:jc w:val="left"/>
              <w:rPr>
                <w:rFonts w:hint="eastAsia" w:ascii="宋体" w:hAnsi="宋体" w:cs="宋体"/>
                <w:szCs w:val="21"/>
                <w:highlight w:val="none"/>
              </w:rPr>
            </w:pPr>
            <w:r>
              <w:rPr>
                <w:rFonts w:hint="eastAsia" w:ascii="宋体" w:hAnsi="宋体" w:cs="宋体"/>
                <w:szCs w:val="21"/>
                <w:highlight w:val="none"/>
              </w:rPr>
              <w:t>8</w:t>
            </w:r>
          </w:p>
        </w:tc>
        <w:tc>
          <w:tcPr>
            <w:tcW w:w="4292" w:type="dxa"/>
            <w:vAlign w:val="center"/>
          </w:tcPr>
          <w:p w14:paraId="36E39724">
            <w:pPr>
              <w:spacing w:before="100" w:after="100"/>
              <w:jc w:val="left"/>
              <w:rPr>
                <w:rFonts w:hint="eastAsia" w:ascii="宋体" w:hAnsi="宋体" w:cs="宋体"/>
                <w:szCs w:val="21"/>
                <w:highlight w:val="none"/>
              </w:rPr>
            </w:pPr>
            <w:r>
              <w:rPr>
                <w:rFonts w:hint="eastAsia" w:ascii="宋体" w:hAnsi="宋体" w:cs="宋体"/>
                <w:szCs w:val="21"/>
                <w:highlight w:val="none"/>
              </w:rPr>
              <w:t>审计人员应做好结算审计日常台账，如审计意见单、结算审计初步情况单、初审结果汇总表、现场审勘记录、调整情况表等，不符合要求的扣1分/处；对影响造价较大有关书面资料不提供或不符合要求的扣1～2分/处。</w:t>
            </w:r>
          </w:p>
        </w:tc>
        <w:tc>
          <w:tcPr>
            <w:tcW w:w="788" w:type="dxa"/>
            <w:vAlign w:val="center"/>
          </w:tcPr>
          <w:p w14:paraId="542A2083">
            <w:pPr>
              <w:spacing w:before="100" w:after="100"/>
              <w:jc w:val="left"/>
              <w:rPr>
                <w:rFonts w:hint="eastAsia" w:ascii="宋体" w:hAnsi="宋体" w:cs="宋体"/>
                <w:szCs w:val="21"/>
                <w:highlight w:val="none"/>
              </w:rPr>
            </w:pPr>
          </w:p>
        </w:tc>
      </w:tr>
      <w:tr w14:paraId="2BE81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58ECBC3">
            <w:pPr>
              <w:spacing w:before="100" w:after="100"/>
              <w:jc w:val="left"/>
              <w:rPr>
                <w:rFonts w:hint="eastAsia" w:ascii="宋体" w:hAnsi="宋体" w:cs="宋体"/>
                <w:b/>
                <w:bCs/>
                <w:szCs w:val="21"/>
                <w:highlight w:val="none"/>
              </w:rPr>
            </w:pPr>
            <w:r>
              <w:rPr>
                <w:rFonts w:hint="eastAsia" w:ascii="宋体" w:hAnsi="宋体" w:cs="宋体"/>
                <w:b/>
                <w:bCs/>
                <w:szCs w:val="21"/>
                <w:highlight w:val="none"/>
              </w:rPr>
              <w:t>（二）</w:t>
            </w:r>
          </w:p>
        </w:tc>
        <w:tc>
          <w:tcPr>
            <w:tcW w:w="2338" w:type="dxa"/>
            <w:vAlign w:val="center"/>
          </w:tcPr>
          <w:p w14:paraId="622BE71B">
            <w:pPr>
              <w:spacing w:before="100" w:after="100"/>
              <w:jc w:val="left"/>
              <w:rPr>
                <w:rFonts w:hint="eastAsia" w:ascii="宋体" w:hAnsi="宋体" w:cs="宋体"/>
                <w:b/>
                <w:bCs/>
                <w:szCs w:val="21"/>
                <w:highlight w:val="none"/>
              </w:rPr>
            </w:pPr>
            <w:r>
              <w:rPr>
                <w:rFonts w:hint="eastAsia" w:ascii="宋体" w:hAnsi="宋体" w:cs="宋体"/>
                <w:b/>
                <w:bCs/>
                <w:szCs w:val="21"/>
                <w:highlight w:val="none"/>
              </w:rPr>
              <w:t>造价审核</w:t>
            </w:r>
          </w:p>
        </w:tc>
        <w:tc>
          <w:tcPr>
            <w:tcW w:w="1075" w:type="dxa"/>
            <w:vAlign w:val="center"/>
          </w:tcPr>
          <w:p w14:paraId="494DECE5">
            <w:pPr>
              <w:spacing w:before="100" w:after="100"/>
              <w:jc w:val="left"/>
              <w:rPr>
                <w:rFonts w:hint="eastAsia" w:ascii="宋体" w:hAnsi="宋体" w:cs="宋体"/>
                <w:b/>
                <w:bCs/>
                <w:szCs w:val="21"/>
                <w:highlight w:val="none"/>
              </w:rPr>
            </w:pPr>
            <w:r>
              <w:rPr>
                <w:rFonts w:hint="eastAsia" w:ascii="宋体" w:hAnsi="宋体" w:cs="宋体"/>
                <w:b/>
                <w:bCs/>
                <w:szCs w:val="21"/>
                <w:highlight w:val="none"/>
              </w:rPr>
              <w:t>15</w:t>
            </w:r>
          </w:p>
        </w:tc>
        <w:tc>
          <w:tcPr>
            <w:tcW w:w="4292" w:type="dxa"/>
            <w:vAlign w:val="center"/>
          </w:tcPr>
          <w:p w14:paraId="4D85F138">
            <w:pPr>
              <w:spacing w:before="100" w:after="100"/>
              <w:jc w:val="left"/>
              <w:rPr>
                <w:rFonts w:hint="eastAsia" w:ascii="宋体" w:hAnsi="宋体" w:cs="宋体"/>
                <w:b/>
                <w:bCs/>
                <w:szCs w:val="21"/>
                <w:highlight w:val="none"/>
              </w:rPr>
            </w:pPr>
          </w:p>
        </w:tc>
        <w:tc>
          <w:tcPr>
            <w:tcW w:w="788" w:type="dxa"/>
            <w:vAlign w:val="center"/>
          </w:tcPr>
          <w:p w14:paraId="2683DDFE">
            <w:pPr>
              <w:spacing w:before="100" w:after="100"/>
              <w:jc w:val="left"/>
              <w:rPr>
                <w:rFonts w:hint="eastAsia" w:ascii="宋体" w:hAnsi="宋体" w:cs="宋体"/>
                <w:b/>
                <w:bCs/>
                <w:szCs w:val="21"/>
                <w:highlight w:val="none"/>
              </w:rPr>
            </w:pPr>
          </w:p>
        </w:tc>
      </w:tr>
      <w:tr w14:paraId="120C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756" w:type="dxa"/>
            <w:vAlign w:val="center"/>
          </w:tcPr>
          <w:p w14:paraId="026B9A56">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750C8E69">
            <w:pPr>
              <w:spacing w:before="100" w:after="100"/>
              <w:jc w:val="left"/>
              <w:rPr>
                <w:rFonts w:hint="eastAsia" w:ascii="宋体" w:hAnsi="宋体" w:cs="宋体"/>
                <w:szCs w:val="21"/>
                <w:highlight w:val="none"/>
              </w:rPr>
            </w:pPr>
            <w:r>
              <w:rPr>
                <w:rFonts w:hint="eastAsia" w:ascii="宋体" w:hAnsi="宋体" w:cs="宋体"/>
                <w:szCs w:val="21"/>
                <w:highlight w:val="none"/>
              </w:rPr>
              <w:t>成本控制</w:t>
            </w:r>
          </w:p>
        </w:tc>
        <w:tc>
          <w:tcPr>
            <w:tcW w:w="1075" w:type="dxa"/>
            <w:vAlign w:val="center"/>
          </w:tcPr>
          <w:p w14:paraId="7DC042B0">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53CB441C">
            <w:pPr>
              <w:spacing w:before="100" w:after="100"/>
              <w:jc w:val="left"/>
              <w:rPr>
                <w:rFonts w:hint="eastAsia" w:ascii="宋体" w:hAnsi="宋体" w:cs="宋体"/>
                <w:szCs w:val="21"/>
                <w:highlight w:val="none"/>
              </w:rPr>
            </w:pPr>
            <w:r>
              <w:rPr>
                <w:rFonts w:hint="eastAsia" w:ascii="宋体" w:hAnsi="宋体" w:cs="宋体"/>
                <w:szCs w:val="21"/>
                <w:highlight w:val="none"/>
              </w:rPr>
              <w:t>审计单位应对项目审计（含审计过程、结果及重要事项审核）认真把关和控制，提出内控书面意见，未落实扣2分；规范审计时间、范围、内容、结果等要素，未履行成本审核程序或流于形式扣2分/次，基本要素不齐全的，扣1分/处。</w:t>
            </w:r>
          </w:p>
        </w:tc>
        <w:tc>
          <w:tcPr>
            <w:tcW w:w="788" w:type="dxa"/>
            <w:vAlign w:val="center"/>
          </w:tcPr>
          <w:p w14:paraId="3800CED9">
            <w:pPr>
              <w:spacing w:before="100" w:after="100"/>
              <w:jc w:val="left"/>
              <w:rPr>
                <w:rFonts w:hint="eastAsia" w:ascii="宋体" w:hAnsi="宋体" w:cs="宋体"/>
                <w:szCs w:val="21"/>
                <w:highlight w:val="none"/>
              </w:rPr>
            </w:pPr>
          </w:p>
        </w:tc>
      </w:tr>
      <w:tr w14:paraId="2CBF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77E06C94">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77B25BCE">
            <w:pPr>
              <w:spacing w:before="100" w:after="100"/>
              <w:jc w:val="left"/>
              <w:rPr>
                <w:rFonts w:hint="eastAsia" w:ascii="宋体" w:hAnsi="宋体" w:cs="宋体"/>
                <w:szCs w:val="21"/>
                <w:highlight w:val="none"/>
              </w:rPr>
            </w:pPr>
            <w:r>
              <w:rPr>
                <w:rFonts w:hint="eastAsia" w:ascii="宋体" w:hAnsi="宋体" w:cs="宋体"/>
                <w:szCs w:val="21"/>
                <w:highlight w:val="none"/>
              </w:rPr>
              <w:t>落实意见</w:t>
            </w:r>
          </w:p>
        </w:tc>
        <w:tc>
          <w:tcPr>
            <w:tcW w:w="1075" w:type="dxa"/>
            <w:vAlign w:val="center"/>
          </w:tcPr>
          <w:p w14:paraId="1078D95C">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07376B14">
            <w:pPr>
              <w:spacing w:before="100" w:after="100"/>
              <w:jc w:val="left"/>
              <w:rPr>
                <w:rFonts w:hint="eastAsia" w:ascii="宋体" w:hAnsi="宋体" w:cs="宋体"/>
                <w:szCs w:val="21"/>
                <w:highlight w:val="none"/>
              </w:rPr>
            </w:pPr>
            <w:r>
              <w:rPr>
                <w:rFonts w:hint="eastAsia" w:ascii="宋体" w:hAnsi="宋体" w:cs="宋体"/>
                <w:szCs w:val="21"/>
                <w:highlight w:val="none"/>
              </w:rPr>
              <w:t>审计人员应认真落实、调整建设单位、审计局提出的复核意见，调整落实不到位的扣1分/处，经指出仍未调整落实到位或出现不合理的一边调减另一头调增的，扣2分/处。审计人员不主动落实三级复核回复意见，直接交由施工单位跟三级复核人员对账的，扣5分/次。</w:t>
            </w:r>
          </w:p>
        </w:tc>
        <w:tc>
          <w:tcPr>
            <w:tcW w:w="788" w:type="dxa"/>
            <w:vAlign w:val="center"/>
          </w:tcPr>
          <w:p w14:paraId="74138AC5">
            <w:pPr>
              <w:spacing w:before="100" w:after="100"/>
              <w:jc w:val="left"/>
              <w:rPr>
                <w:rFonts w:hint="eastAsia" w:ascii="宋体" w:hAnsi="宋体" w:cs="宋体"/>
                <w:szCs w:val="21"/>
                <w:highlight w:val="none"/>
              </w:rPr>
            </w:pPr>
          </w:p>
        </w:tc>
      </w:tr>
      <w:tr w14:paraId="3A393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EF8C94C">
            <w:pPr>
              <w:spacing w:before="100" w:after="100"/>
              <w:jc w:val="left"/>
              <w:rPr>
                <w:rFonts w:hint="eastAsia" w:ascii="宋体" w:hAnsi="宋体" w:cs="宋体"/>
                <w:szCs w:val="21"/>
                <w:highlight w:val="none"/>
              </w:rPr>
            </w:pPr>
          </w:p>
        </w:tc>
        <w:tc>
          <w:tcPr>
            <w:tcW w:w="2338" w:type="dxa"/>
            <w:vAlign w:val="center"/>
          </w:tcPr>
          <w:p w14:paraId="394F4153">
            <w:pPr>
              <w:spacing w:before="100" w:after="100"/>
              <w:jc w:val="left"/>
              <w:rPr>
                <w:rFonts w:hint="eastAsia" w:ascii="宋体" w:hAnsi="宋体" w:cs="宋体"/>
                <w:b/>
                <w:bCs/>
                <w:szCs w:val="21"/>
                <w:highlight w:val="none"/>
              </w:rPr>
            </w:pPr>
            <w:r>
              <w:rPr>
                <w:rFonts w:hint="eastAsia" w:ascii="宋体" w:hAnsi="宋体" w:cs="宋体"/>
                <w:b/>
                <w:bCs/>
                <w:szCs w:val="21"/>
                <w:highlight w:val="none"/>
              </w:rPr>
              <w:t>总计得分</w:t>
            </w:r>
          </w:p>
        </w:tc>
        <w:tc>
          <w:tcPr>
            <w:tcW w:w="1075" w:type="dxa"/>
            <w:vAlign w:val="center"/>
          </w:tcPr>
          <w:p w14:paraId="3089E964">
            <w:pPr>
              <w:spacing w:before="100" w:after="100"/>
              <w:jc w:val="left"/>
              <w:rPr>
                <w:rFonts w:hint="eastAsia" w:ascii="宋体" w:hAnsi="宋体" w:cs="宋体"/>
                <w:b/>
                <w:bCs/>
                <w:szCs w:val="21"/>
                <w:highlight w:val="none"/>
              </w:rPr>
            </w:pPr>
            <w:r>
              <w:rPr>
                <w:rFonts w:hint="eastAsia" w:ascii="宋体" w:hAnsi="宋体" w:cs="宋体"/>
                <w:b/>
                <w:bCs/>
                <w:szCs w:val="21"/>
                <w:highlight w:val="none"/>
              </w:rPr>
              <w:t>100</w:t>
            </w:r>
          </w:p>
        </w:tc>
        <w:tc>
          <w:tcPr>
            <w:tcW w:w="4292" w:type="dxa"/>
            <w:vAlign w:val="center"/>
          </w:tcPr>
          <w:p w14:paraId="35CB6BCF">
            <w:pPr>
              <w:spacing w:before="100" w:after="100"/>
              <w:jc w:val="left"/>
              <w:rPr>
                <w:rFonts w:hint="eastAsia" w:ascii="宋体" w:hAnsi="宋体" w:cs="宋体"/>
                <w:b/>
                <w:bCs/>
                <w:szCs w:val="21"/>
                <w:highlight w:val="none"/>
              </w:rPr>
            </w:pPr>
          </w:p>
        </w:tc>
        <w:tc>
          <w:tcPr>
            <w:tcW w:w="788" w:type="dxa"/>
            <w:vAlign w:val="center"/>
          </w:tcPr>
          <w:p w14:paraId="57F3ACCE">
            <w:pPr>
              <w:spacing w:before="100" w:after="100"/>
              <w:jc w:val="left"/>
              <w:rPr>
                <w:rFonts w:hint="eastAsia" w:ascii="宋体" w:hAnsi="宋体" w:cs="宋体"/>
                <w:b/>
                <w:bCs/>
                <w:szCs w:val="21"/>
                <w:highlight w:val="none"/>
              </w:rPr>
            </w:pPr>
          </w:p>
        </w:tc>
      </w:tr>
    </w:tbl>
    <w:p w14:paraId="3FB501E0">
      <w:pPr>
        <w:ind w:firstLine="843" w:firstLineChars="300"/>
        <w:jc w:val="left"/>
        <w:rPr>
          <w:rFonts w:hint="eastAsia" w:ascii="宋体" w:hAnsi="宋体" w:cs="宋体"/>
          <w:b/>
          <w:bCs/>
          <w:sz w:val="28"/>
          <w:szCs w:val="28"/>
          <w:highlight w:val="none"/>
          <w:u w:val="single"/>
        </w:rPr>
      </w:pPr>
      <w:r>
        <w:rPr>
          <w:rFonts w:hint="eastAsia" w:ascii="宋体" w:hAnsi="宋体" w:cs="宋体"/>
          <w:b/>
          <w:bCs/>
          <w:sz w:val="28"/>
          <w:szCs w:val="28"/>
          <w:highlight w:val="none"/>
        </w:rPr>
        <w:t>考核结果（优秀/合格/不合格）：</w:t>
      </w:r>
    </w:p>
    <w:p w14:paraId="1E15B329">
      <w:pPr>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说明：本考核细则，总分为100分，考核分数与第三方审计单位咨询费用挂钩，考核得分90～100的，考核结果为“优秀”，咨询费用不打折，考核得分60～89分的，考核结果为“合格”，咨询费用计算式=第三方审计单位上报咨询费用*考核得分/90。考核得分59分以下的，考核结果为“不合格”，建设单位支付咨询费的60%，并中止其在宜兴市公用环保集团有限公司以及下属公司发包项目的投标资格一年。</w:t>
      </w:r>
    </w:p>
    <w:p w14:paraId="4186FBFE">
      <w:pPr>
        <w:spacing w:before="100" w:after="100"/>
        <w:ind w:firstLine="602" w:firstLineChars="200"/>
        <w:jc w:val="center"/>
        <w:rPr>
          <w:rFonts w:hint="eastAsia" w:ascii="宋体" w:hAnsi="宋体" w:cs="宋体"/>
          <w:b/>
          <w:bCs/>
          <w:sz w:val="30"/>
          <w:szCs w:val="30"/>
          <w:highlight w:val="none"/>
        </w:rPr>
      </w:pPr>
      <w:r>
        <w:rPr>
          <w:rFonts w:hint="eastAsia" w:ascii="宋体" w:hAnsi="宋体" w:cs="宋体"/>
          <w:b/>
          <w:bCs/>
          <w:sz w:val="30"/>
          <w:szCs w:val="30"/>
          <w:highlight w:val="none"/>
        </w:rPr>
        <w:br w:type="page"/>
      </w:r>
      <w:r>
        <w:rPr>
          <w:rFonts w:hint="eastAsia" w:ascii="宋体" w:hAnsi="宋体" w:cs="宋体"/>
          <w:b/>
          <w:bCs/>
          <w:sz w:val="30"/>
          <w:szCs w:val="30"/>
          <w:highlight w:val="none"/>
        </w:rPr>
        <w:t>审计纪律</w:t>
      </w:r>
    </w:p>
    <w:p w14:paraId="727E1FC7">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第三方审计单位在审计过程中,违反《宜兴市政府建设项目廉洁协审责任清单》规定及有下列情况的，该项目直接考核结果为“不合格”，若情况严重、性质恶劣的，该单位直接考核结果为“不合格”，并视情况追究有关审计人员的责任，涉及违规、违纪、违法的，移送相关部门处理。</w:t>
      </w:r>
    </w:p>
    <w:p w14:paraId="6B9613B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1、被发现、被举报并经查实有严重违反审计纪律的；</w:t>
      </w:r>
    </w:p>
    <w:p w14:paraId="777E7DF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2、造成严重审计质量问题。例如：</w:t>
      </w:r>
    </w:p>
    <w:p w14:paraId="4AB42328">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（1）丢失重要、特别重要的资料（如：相关合同原件、施工单位送审资料、建设单位复核意见、审计局复核意见、上级机关重要发文等）；</w:t>
      </w:r>
    </w:p>
    <w:p w14:paraId="7BB5A40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（2）单项工程量复核误差率＞2%或造价复核误差率＞2%以上；</w:t>
      </w:r>
    </w:p>
    <w:p w14:paraId="02635D7E">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项工程量复核误差率=（建设单位复核核增单项工程量+建设单位复核核减单项工程量+审计局审核增单项工程量+审计局审核减单项工程量）/送审单项工程量*100%。（由非第三方审计单位原因造成的复核误差不在考核范围之内）；</w:t>
      </w:r>
    </w:p>
    <w:p w14:paraId="39066B70">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造价复核误差率=（建设单位复核核增金额+建设单位复核核减金额+审计局审核增金额+审计局审核减金额）/送审造价*100%。（由非第三方审计单位原因造成的审计误差不在考核范围之内）；</w:t>
      </w:r>
    </w:p>
    <w:p w14:paraId="4654782A">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3、提供虚假资料、弄虚作假的；</w:t>
      </w:r>
    </w:p>
    <w:p w14:paraId="3192B0E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4、对存在问题拒不改正的；</w:t>
      </w:r>
    </w:p>
    <w:p w14:paraId="6398AED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5、提供其他有影响公平、公正的造价咨询服务的；</w:t>
      </w:r>
    </w:p>
    <w:p w14:paraId="73780E5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6、对审计内容、信息失密、泄密的；</w:t>
      </w:r>
    </w:p>
    <w:p w14:paraId="5FCA640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7、中标单位擅自更换中标人员；</w:t>
      </w:r>
    </w:p>
    <w:p w14:paraId="726C9E0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8、其他违规、违纪、违法等情况。</w:t>
      </w:r>
    </w:p>
    <w:p w14:paraId="4BF7A745">
      <w:pPr>
        <w:jc w:val="left"/>
        <w:rPr>
          <w:rFonts w:hint="eastAsia" w:ascii="宋体" w:hAnsi="宋体"/>
          <w:sz w:val="24"/>
          <w:szCs w:val="21"/>
          <w:highlight w:val="none"/>
          <w:lang w:val="zh-CN"/>
        </w:rPr>
      </w:pPr>
      <w:r>
        <w:rPr>
          <w:rFonts w:hint="eastAsia" w:ascii="黑体" w:hAnsi="宋体" w:eastAsia="黑体"/>
          <w:bCs/>
          <w:sz w:val="24"/>
          <w:szCs w:val="24"/>
          <w:highlight w:val="none"/>
        </w:rPr>
        <w:br w:type="page"/>
      </w:r>
      <w:r>
        <w:rPr>
          <w:rFonts w:hint="eastAsia" w:ascii="黑体" w:hAnsi="宋体" w:eastAsia="黑体"/>
          <w:bCs/>
          <w:sz w:val="24"/>
          <w:szCs w:val="24"/>
          <w:highlight w:val="none"/>
        </w:rPr>
        <w:t>附件二：宜兴市公用环保集团有限公司监理单位工作考核制度：</w:t>
      </w:r>
    </w:p>
    <w:p w14:paraId="76D8E066">
      <w:pPr>
        <w:jc w:val="center"/>
        <w:rPr>
          <w:rFonts w:hint="eastAsia" w:ascii="黑体" w:hAnsi="黑体" w:eastAsia="黑体"/>
          <w:b/>
          <w:sz w:val="32"/>
          <w:szCs w:val="32"/>
          <w:highlight w:val="none"/>
          <w:lang w:val="zh-CN"/>
        </w:rPr>
      </w:pPr>
      <w:r>
        <w:rPr>
          <w:rFonts w:hint="eastAsia" w:ascii="黑体" w:hAnsi="黑体" w:eastAsia="黑体" w:cs="宋体"/>
          <w:bCs/>
          <w:sz w:val="32"/>
          <w:szCs w:val="32"/>
          <w:highlight w:val="none"/>
        </w:rPr>
        <w:t>监理单位工作百分考核细则</w:t>
      </w:r>
    </w:p>
    <w:p w14:paraId="79259D31">
      <w:pPr>
        <w:jc w:val="left"/>
        <w:rPr>
          <w:rFonts w:hint="eastAsia" w:ascii="宋体" w:hAnsi="宋体" w:cs="宋体"/>
          <w:highlight w:val="none"/>
        </w:rPr>
      </w:pPr>
    </w:p>
    <w:tbl>
      <w:tblPr>
        <w:tblStyle w:val="34"/>
        <w:tblW w:w="9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027"/>
        <w:gridCol w:w="1276"/>
        <w:gridCol w:w="4402"/>
        <w:gridCol w:w="788"/>
      </w:tblGrid>
      <w:tr w14:paraId="2D3D9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56" w:type="dxa"/>
            <w:vAlign w:val="center"/>
          </w:tcPr>
          <w:p w14:paraId="330C4F9F">
            <w:pPr>
              <w:jc w:val="left"/>
              <w:rPr>
                <w:rFonts w:hint="eastAsia" w:ascii="宋体" w:hAnsi="宋体" w:cs="宋体"/>
                <w:szCs w:val="21"/>
                <w:highlight w:val="none"/>
              </w:rPr>
            </w:pPr>
            <w:r>
              <w:rPr>
                <w:rFonts w:hint="eastAsia" w:ascii="宋体" w:hAnsi="宋体" w:cs="宋体"/>
                <w:szCs w:val="21"/>
                <w:highlight w:val="none"/>
              </w:rPr>
              <w:t>序号</w:t>
            </w:r>
          </w:p>
        </w:tc>
        <w:tc>
          <w:tcPr>
            <w:tcW w:w="2027" w:type="dxa"/>
            <w:vAlign w:val="center"/>
          </w:tcPr>
          <w:p w14:paraId="7A57531C">
            <w:pPr>
              <w:jc w:val="left"/>
              <w:rPr>
                <w:rFonts w:hint="eastAsia" w:ascii="宋体" w:hAnsi="宋体" w:cs="宋体"/>
                <w:szCs w:val="21"/>
                <w:highlight w:val="none"/>
              </w:rPr>
            </w:pPr>
            <w:r>
              <w:rPr>
                <w:rFonts w:hint="eastAsia" w:ascii="宋体" w:hAnsi="宋体" w:cs="宋体"/>
                <w:szCs w:val="21"/>
                <w:highlight w:val="none"/>
              </w:rPr>
              <w:t>项目名称</w:t>
            </w:r>
          </w:p>
        </w:tc>
        <w:tc>
          <w:tcPr>
            <w:tcW w:w="1276" w:type="dxa"/>
            <w:vAlign w:val="center"/>
          </w:tcPr>
          <w:p w14:paraId="031C5CE6">
            <w:pPr>
              <w:jc w:val="left"/>
              <w:rPr>
                <w:rFonts w:hint="eastAsia" w:ascii="宋体" w:hAnsi="宋体" w:cs="宋体"/>
                <w:szCs w:val="21"/>
                <w:highlight w:val="none"/>
              </w:rPr>
            </w:pPr>
            <w:r>
              <w:rPr>
                <w:rFonts w:hint="eastAsia" w:ascii="宋体" w:hAnsi="宋体" w:cs="宋体"/>
                <w:szCs w:val="21"/>
                <w:highlight w:val="none"/>
              </w:rPr>
              <w:t>原始分值</w:t>
            </w:r>
          </w:p>
        </w:tc>
        <w:tc>
          <w:tcPr>
            <w:tcW w:w="4402" w:type="dxa"/>
            <w:vAlign w:val="center"/>
          </w:tcPr>
          <w:p w14:paraId="7224A39E">
            <w:pPr>
              <w:jc w:val="left"/>
              <w:rPr>
                <w:rFonts w:hint="eastAsia" w:ascii="宋体" w:hAnsi="宋体" w:cs="宋体"/>
                <w:szCs w:val="21"/>
                <w:highlight w:val="none"/>
              </w:rPr>
            </w:pPr>
            <w:r>
              <w:rPr>
                <w:rFonts w:hint="eastAsia" w:ascii="宋体" w:hAnsi="宋体" w:cs="宋体"/>
                <w:szCs w:val="21"/>
                <w:highlight w:val="none"/>
              </w:rPr>
              <w:t>考核细则</w:t>
            </w:r>
          </w:p>
        </w:tc>
        <w:tc>
          <w:tcPr>
            <w:tcW w:w="788" w:type="dxa"/>
            <w:vAlign w:val="center"/>
          </w:tcPr>
          <w:p w14:paraId="02A5C9DC">
            <w:pPr>
              <w:jc w:val="left"/>
              <w:rPr>
                <w:rFonts w:hint="eastAsia" w:ascii="宋体" w:hAnsi="宋体" w:cs="宋体"/>
                <w:szCs w:val="21"/>
                <w:highlight w:val="none"/>
              </w:rPr>
            </w:pPr>
            <w:r>
              <w:rPr>
                <w:rFonts w:hint="eastAsia" w:ascii="宋体" w:hAnsi="宋体" w:cs="宋体"/>
                <w:szCs w:val="21"/>
                <w:highlight w:val="none"/>
              </w:rPr>
              <w:t>得分</w:t>
            </w:r>
          </w:p>
        </w:tc>
      </w:tr>
      <w:tr w14:paraId="1514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00468FE">
            <w:pPr>
              <w:jc w:val="left"/>
              <w:rPr>
                <w:rFonts w:hint="eastAsia" w:ascii="宋体" w:hAnsi="宋体" w:cs="宋体"/>
                <w:b/>
                <w:bCs/>
                <w:szCs w:val="21"/>
                <w:highlight w:val="none"/>
              </w:rPr>
            </w:pPr>
            <w:r>
              <w:rPr>
                <w:rFonts w:hint="eastAsia" w:ascii="宋体" w:hAnsi="宋体" w:cs="宋体"/>
                <w:b/>
                <w:bCs/>
                <w:szCs w:val="21"/>
                <w:highlight w:val="none"/>
              </w:rPr>
              <w:t>一</w:t>
            </w:r>
          </w:p>
        </w:tc>
        <w:tc>
          <w:tcPr>
            <w:tcW w:w="2027" w:type="dxa"/>
            <w:vAlign w:val="center"/>
          </w:tcPr>
          <w:p w14:paraId="343CA78C">
            <w:pPr>
              <w:jc w:val="left"/>
              <w:rPr>
                <w:rFonts w:hint="eastAsia" w:ascii="宋体" w:hAnsi="宋体" w:cs="宋体"/>
                <w:b/>
                <w:bCs/>
                <w:szCs w:val="21"/>
                <w:highlight w:val="none"/>
              </w:rPr>
            </w:pPr>
            <w:r>
              <w:rPr>
                <w:rFonts w:hint="eastAsia" w:ascii="宋体" w:hAnsi="宋体" w:cs="宋体"/>
                <w:b/>
                <w:bCs/>
                <w:szCs w:val="21"/>
                <w:highlight w:val="none"/>
              </w:rPr>
              <w:t>现场监理机构和设备配置情况</w:t>
            </w:r>
          </w:p>
        </w:tc>
        <w:tc>
          <w:tcPr>
            <w:tcW w:w="1276" w:type="dxa"/>
            <w:vAlign w:val="center"/>
          </w:tcPr>
          <w:p w14:paraId="15F48672">
            <w:pPr>
              <w:jc w:val="left"/>
              <w:rPr>
                <w:rFonts w:hint="eastAsia" w:ascii="宋体" w:hAnsi="宋体" w:cs="宋体"/>
                <w:b/>
                <w:bCs/>
                <w:szCs w:val="21"/>
                <w:highlight w:val="none"/>
              </w:rPr>
            </w:pPr>
            <w:r>
              <w:rPr>
                <w:rFonts w:hint="eastAsia" w:ascii="宋体" w:hAnsi="宋体" w:cs="宋体"/>
                <w:b/>
                <w:bCs/>
                <w:szCs w:val="21"/>
                <w:highlight w:val="none"/>
              </w:rPr>
              <w:t>10</w:t>
            </w:r>
          </w:p>
        </w:tc>
        <w:tc>
          <w:tcPr>
            <w:tcW w:w="4402" w:type="dxa"/>
            <w:vAlign w:val="center"/>
          </w:tcPr>
          <w:p w14:paraId="60D67C0F">
            <w:pPr>
              <w:jc w:val="left"/>
              <w:rPr>
                <w:rFonts w:hint="eastAsia" w:ascii="宋体" w:hAnsi="宋体" w:cs="宋体"/>
                <w:b/>
                <w:bCs/>
                <w:szCs w:val="21"/>
                <w:highlight w:val="none"/>
              </w:rPr>
            </w:pPr>
          </w:p>
        </w:tc>
        <w:tc>
          <w:tcPr>
            <w:tcW w:w="788" w:type="dxa"/>
            <w:vAlign w:val="center"/>
          </w:tcPr>
          <w:p w14:paraId="1F623194">
            <w:pPr>
              <w:jc w:val="left"/>
              <w:rPr>
                <w:rFonts w:hint="eastAsia" w:ascii="宋体" w:hAnsi="宋体" w:cs="宋体"/>
                <w:szCs w:val="21"/>
                <w:highlight w:val="none"/>
              </w:rPr>
            </w:pPr>
          </w:p>
        </w:tc>
      </w:tr>
      <w:tr w14:paraId="39D0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8BD4C0B">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711B274C">
            <w:pPr>
              <w:jc w:val="left"/>
              <w:rPr>
                <w:rFonts w:hint="eastAsia" w:ascii="宋体" w:hAnsi="宋体" w:cs="宋体"/>
                <w:szCs w:val="21"/>
                <w:highlight w:val="none"/>
              </w:rPr>
            </w:pPr>
            <w:r>
              <w:rPr>
                <w:rFonts w:hint="eastAsia" w:ascii="宋体" w:hAnsi="宋体" w:cs="宋体"/>
                <w:szCs w:val="21"/>
                <w:highlight w:val="none"/>
              </w:rPr>
              <w:t>现场组织管理</w:t>
            </w:r>
          </w:p>
        </w:tc>
        <w:tc>
          <w:tcPr>
            <w:tcW w:w="1276" w:type="dxa"/>
            <w:vAlign w:val="center"/>
          </w:tcPr>
          <w:p w14:paraId="39BF7EA1">
            <w:pPr>
              <w:jc w:val="left"/>
              <w:rPr>
                <w:rFonts w:hint="eastAsia" w:ascii="宋体" w:hAnsi="宋体" w:cs="宋体"/>
                <w:szCs w:val="21"/>
                <w:highlight w:val="none"/>
              </w:rPr>
            </w:pPr>
            <w:r>
              <w:rPr>
                <w:rFonts w:hint="eastAsia" w:ascii="宋体" w:hAnsi="宋体" w:cs="宋体"/>
                <w:szCs w:val="21"/>
                <w:highlight w:val="none"/>
              </w:rPr>
              <w:t>2</w:t>
            </w:r>
          </w:p>
        </w:tc>
        <w:tc>
          <w:tcPr>
            <w:tcW w:w="4402" w:type="dxa"/>
            <w:vAlign w:val="center"/>
          </w:tcPr>
          <w:p w14:paraId="0269AF3F">
            <w:pPr>
              <w:jc w:val="left"/>
              <w:rPr>
                <w:rFonts w:hint="eastAsia" w:ascii="宋体" w:hAnsi="宋体" w:cs="宋体"/>
                <w:szCs w:val="21"/>
                <w:highlight w:val="none"/>
              </w:rPr>
            </w:pPr>
            <w:r>
              <w:rPr>
                <w:rFonts w:hint="eastAsia" w:ascii="宋体" w:hAnsi="宋体" w:cs="宋体"/>
                <w:szCs w:val="21"/>
                <w:highlight w:val="none"/>
              </w:rPr>
              <w:t>无人员分工及职责扣1分；监理人员专业与工程特点不配套扣1分；</w:t>
            </w:r>
          </w:p>
        </w:tc>
        <w:tc>
          <w:tcPr>
            <w:tcW w:w="788" w:type="dxa"/>
            <w:vAlign w:val="center"/>
          </w:tcPr>
          <w:p w14:paraId="2B74C5AD">
            <w:pPr>
              <w:jc w:val="left"/>
              <w:rPr>
                <w:rFonts w:hint="eastAsia" w:ascii="宋体" w:hAnsi="宋体" w:cs="宋体"/>
                <w:b/>
                <w:bCs/>
                <w:szCs w:val="21"/>
                <w:highlight w:val="none"/>
              </w:rPr>
            </w:pPr>
          </w:p>
        </w:tc>
      </w:tr>
      <w:tr w14:paraId="55ED2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6" w:type="dxa"/>
            <w:vAlign w:val="center"/>
          </w:tcPr>
          <w:p w14:paraId="05C44604">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55BEC771">
            <w:pPr>
              <w:jc w:val="left"/>
              <w:rPr>
                <w:rFonts w:hint="eastAsia" w:ascii="宋体" w:hAnsi="宋体" w:cs="宋体"/>
                <w:szCs w:val="21"/>
                <w:highlight w:val="none"/>
              </w:rPr>
            </w:pPr>
            <w:r>
              <w:rPr>
                <w:rFonts w:hint="eastAsia" w:ascii="宋体" w:hAnsi="宋体" w:cs="宋体"/>
                <w:szCs w:val="21"/>
                <w:highlight w:val="none"/>
              </w:rPr>
              <w:t>监理人员管理</w:t>
            </w:r>
          </w:p>
        </w:tc>
        <w:tc>
          <w:tcPr>
            <w:tcW w:w="1276" w:type="dxa"/>
            <w:vAlign w:val="center"/>
          </w:tcPr>
          <w:p w14:paraId="12F6188A">
            <w:pPr>
              <w:jc w:val="left"/>
              <w:rPr>
                <w:rFonts w:hint="eastAsia" w:ascii="宋体" w:hAnsi="宋体" w:cs="宋体"/>
                <w:szCs w:val="21"/>
                <w:highlight w:val="none"/>
              </w:rPr>
            </w:pPr>
            <w:r>
              <w:rPr>
                <w:rFonts w:hint="eastAsia" w:ascii="宋体" w:hAnsi="宋体" w:cs="宋体"/>
                <w:szCs w:val="21"/>
                <w:highlight w:val="none"/>
              </w:rPr>
              <w:t>8</w:t>
            </w:r>
          </w:p>
        </w:tc>
        <w:tc>
          <w:tcPr>
            <w:tcW w:w="4402" w:type="dxa"/>
            <w:vAlign w:val="center"/>
          </w:tcPr>
          <w:p w14:paraId="06181B7C">
            <w:pPr>
              <w:jc w:val="left"/>
              <w:rPr>
                <w:rFonts w:hint="eastAsia" w:ascii="宋体" w:hAnsi="宋体" w:cs="宋体"/>
                <w:szCs w:val="21"/>
                <w:highlight w:val="none"/>
              </w:rPr>
            </w:pPr>
            <w:r>
              <w:rPr>
                <w:rFonts w:hint="eastAsia" w:ascii="宋体" w:hAnsi="宋体" w:cs="宋体"/>
                <w:szCs w:val="21"/>
                <w:highlight w:val="none"/>
              </w:rPr>
              <w:t>总监理工程师与投标承诺或监理合同不符及挂名扣2分；监理工程师、监理员未按规定执业，违规同时监理两个及以上工程或超权限工作扣2分／人，调换人员未办理手续扣2分／人；无考勤记录、记录不全扣2分/次。</w:t>
            </w:r>
          </w:p>
        </w:tc>
        <w:tc>
          <w:tcPr>
            <w:tcW w:w="788" w:type="dxa"/>
            <w:vAlign w:val="center"/>
          </w:tcPr>
          <w:p w14:paraId="65E3241C">
            <w:pPr>
              <w:jc w:val="left"/>
              <w:rPr>
                <w:rFonts w:hint="eastAsia" w:ascii="宋体" w:hAnsi="宋体" w:cs="宋体"/>
                <w:szCs w:val="21"/>
                <w:highlight w:val="none"/>
              </w:rPr>
            </w:pPr>
          </w:p>
        </w:tc>
      </w:tr>
      <w:tr w14:paraId="451CF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6AF70B8">
            <w:pPr>
              <w:jc w:val="left"/>
              <w:rPr>
                <w:rFonts w:hint="eastAsia" w:ascii="宋体" w:hAnsi="宋体" w:cs="宋体"/>
                <w:b/>
                <w:bCs/>
                <w:szCs w:val="21"/>
                <w:highlight w:val="none"/>
              </w:rPr>
            </w:pPr>
            <w:r>
              <w:rPr>
                <w:rFonts w:hint="eastAsia" w:ascii="宋体" w:hAnsi="宋体" w:cs="宋体"/>
                <w:b/>
                <w:bCs/>
                <w:szCs w:val="21"/>
                <w:highlight w:val="none"/>
              </w:rPr>
              <w:t>二</w:t>
            </w:r>
          </w:p>
        </w:tc>
        <w:tc>
          <w:tcPr>
            <w:tcW w:w="2027" w:type="dxa"/>
            <w:vAlign w:val="center"/>
          </w:tcPr>
          <w:p w14:paraId="13840349">
            <w:pPr>
              <w:jc w:val="left"/>
              <w:rPr>
                <w:rFonts w:hint="eastAsia" w:ascii="宋体" w:hAnsi="宋体" w:cs="宋体"/>
                <w:b/>
                <w:bCs/>
                <w:szCs w:val="21"/>
                <w:highlight w:val="none"/>
              </w:rPr>
            </w:pPr>
            <w:r>
              <w:rPr>
                <w:rFonts w:hint="eastAsia" w:ascii="宋体" w:hAnsi="宋体" w:cs="宋体"/>
                <w:b/>
                <w:bCs/>
                <w:szCs w:val="21"/>
                <w:highlight w:val="none"/>
              </w:rPr>
              <w:t>监理管理文件</w:t>
            </w:r>
          </w:p>
        </w:tc>
        <w:tc>
          <w:tcPr>
            <w:tcW w:w="1276" w:type="dxa"/>
            <w:vAlign w:val="center"/>
          </w:tcPr>
          <w:p w14:paraId="4A7EC316">
            <w:pPr>
              <w:jc w:val="left"/>
              <w:rPr>
                <w:rFonts w:hint="eastAsia" w:ascii="宋体" w:hAnsi="宋体" w:cs="宋体"/>
                <w:b/>
                <w:bCs/>
                <w:szCs w:val="21"/>
                <w:highlight w:val="none"/>
              </w:rPr>
            </w:pPr>
            <w:r>
              <w:rPr>
                <w:rFonts w:hint="eastAsia" w:ascii="宋体" w:hAnsi="宋体" w:cs="宋体"/>
                <w:b/>
                <w:bCs/>
                <w:szCs w:val="21"/>
                <w:highlight w:val="none"/>
              </w:rPr>
              <w:t>10</w:t>
            </w:r>
          </w:p>
        </w:tc>
        <w:tc>
          <w:tcPr>
            <w:tcW w:w="4402" w:type="dxa"/>
            <w:vAlign w:val="center"/>
          </w:tcPr>
          <w:p w14:paraId="7C0F0C57">
            <w:pPr>
              <w:jc w:val="left"/>
              <w:rPr>
                <w:rFonts w:hint="eastAsia" w:ascii="宋体" w:hAnsi="宋体" w:cs="宋体"/>
                <w:b/>
                <w:bCs/>
                <w:szCs w:val="21"/>
                <w:highlight w:val="none"/>
              </w:rPr>
            </w:pPr>
          </w:p>
        </w:tc>
        <w:tc>
          <w:tcPr>
            <w:tcW w:w="788" w:type="dxa"/>
            <w:vAlign w:val="center"/>
          </w:tcPr>
          <w:p w14:paraId="68594E47">
            <w:pPr>
              <w:jc w:val="left"/>
              <w:rPr>
                <w:rFonts w:hint="eastAsia" w:ascii="宋体" w:hAnsi="宋体" w:cs="宋体"/>
                <w:b/>
                <w:bCs/>
                <w:szCs w:val="21"/>
                <w:highlight w:val="none"/>
              </w:rPr>
            </w:pPr>
          </w:p>
        </w:tc>
      </w:tr>
      <w:tr w14:paraId="367C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756" w:type="dxa"/>
            <w:vAlign w:val="center"/>
          </w:tcPr>
          <w:p w14:paraId="02454D9C">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37BEFADE">
            <w:pPr>
              <w:jc w:val="left"/>
              <w:rPr>
                <w:rFonts w:hint="eastAsia" w:ascii="宋体" w:hAnsi="宋体" w:cs="宋体"/>
                <w:szCs w:val="21"/>
                <w:highlight w:val="none"/>
              </w:rPr>
            </w:pPr>
            <w:r>
              <w:rPr>
                <w:rFonts w:hint="eastAsia" w:ascii="宋体" w:hAnsi="宋体" w:cs="宋体"/>
                <w:szCs w:val="21"/>
                <w:highlight w:val="none"/>
              </w:rPr>
              <w:t>监理管理文件</w:t>
            </w:r>
          </w:p>
        </w:tc>
        <w:tc>
          <w:tcPr>
            <w:tcW w:w="1276" w:type="dxa"/>
            <w:vAlign w:val="center"/>
          </w:tcPr>
          <w:p w14:paraId="34AADC09">
            <w:pPr>
              <w:jc w:val="left"/>
              <w:rPr>
                <w:rFonts w:hint="eastAsia" w:ascii="宋体" w:hAnsi="宋体" w:cs="宋体"/>
                <w:szCs w:val="21"/>
                <w:highlight w:val="none"/>
              </w:rPr>
            </w:pPr>
            <w:r>
              <w:rPr>
                <w:rFonts w:hint="eastAsia" w:ascii="宋体" w:hAnsi="宋体" w:cs="宋体"/>
                <w:szCs w:val="21"/>
                <w:highlight w:val="none"/>
              </w:rPr>
              <w:t>6</w:t>
            </w:r>
          </w:p>
        </w:tc>
        <w:tc>
          <w:tcPr>
            <w:tcW w:w="4402" w:type="dxa"/>
            <w:vAlign w:val="center"/>
          </w:tcPr>
          <w:p w14:paraId="19C81765">
            <w:pPr>
              <w:jc w:val="left"/>
              <w:rPr>
                <w:rFonts w:hint="eastAsia" w:ascii="宋体" w:hAnsi="宋体" w:cs="宋体"/>
                <w:szCs w:val="21"/>
                <w:highlight w:val="none"/>
              </w:rPr>
            </w:pPr>
            <w:r>
              <w:rPr>
                <w:rFonts w:hint="eastAsia" w:ascii="宋体" w:hAnsi="宋体" w:cs="宋体"/>
                <w:szCs w:val="21"/>
                <w:highlight w:val="none"/>
              </w:rPr>
              <w:t>监理规划和实施细则因监理单位原因未及时完成扣2分；监理规划未报建设单位备案扣1分；文件中未明确项目监理机构的工作范围、内容、目标和依据扣1分/项，无监理工作制度、程序、方法和措施扣1分/项，未分专业编制监理实施细则扣1分。</w:t>
            </w:r>
          </w:p>
        </w:tc>
        <w:tc>
          <w:tcPr>
            <w:tcW w:w="788" w:type="dxa"/>
            <w:vAlign w:val="center"/>
          </w:tcPr>
          <w:p w14:paraId="2C36342A">
            <w:pPr>
              <w:jc w:val="left"/>
              <w:rPr>
                <w:rFonts w:hint="eastAsia" w:ascii="宋体" w:hAnsi="宋体" w:cs="宋体"/>
                <w:szCs w:val="21"/>
                <w:highlight w:val="none"/>
              </w:rPr>
            </w:pPr>
          </w:p>
        </w:tc>
      </w:tr>
      <w:tr w14:paraId="66817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FC37243">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1803518E">
            <w:pPr>
              <w:jc w:val="left"/>
              <w:rPr>
                <w:rFonts w:hint="eastAsia" w:ascii="宋体" w:hAnsi="宋体" w:cs="宋体"/>
                <w:szCs w:val="21"/>
                <w:highlight w:val="none"/>
              </w:rPr>
            </w:pPr>
            <w:r>
              <w:rPr>
                <w:rFonts w:hint="eastAsia" w:ascii="宋体" w:hAnsi="宋体" w:cs="宋体"/>
                <w:szCs w:val="21"/>
                <w:highlight w:val="none"/>
              </w:rPr>
              <w:t>监理月报、档案</w:t>
            </w:r>
          </w:p>
        </w:tc>
        <w:tc>
          <w:tcPr>
            <w:tcW w:w="1276" w:type="dxa"/>
            <w:vAlign w:val="center"/>
          </w:tcPr>
          <w:p w14:paraId="525C6690">
            <w:pPr>
              <w:jc w:val="left"/>
              <w:rPr>
                <w:rFonts w:hint="eastAsia" w:ascii="宋体" w:hAnsi="宋体" w:cs="宋体"/>
                <w:szCs w:val="21"/>
                <w:highlight w:val="none"/>
              </w:rPr>
            </w:pPr>
            <w:r>
              <w:rPr>
                <w:rFonts w:hint="eastAsia" w:ascii="宋体" w:hAnsi="宋体" w:cs="宋体"/>
                <w:szCs w:val="21"/>
                <w:highlight w:val="none"/>
              </w:rPr>
              <w:t>4</w:t>
            </w:r>
          </w:p>
        </w:tc>
        <w:tc>
          <w:tcPr>
            <w:tcW w:w="4402" w:type="dxa"/>
            <w:vAlign w:val="center"/>
          </w:tcPr>
          <w:p w14:paraId="3DD78212">
            <w:pPr>
              <w:jc w:val="left"/>
              <w:rPr>
                <w:rFonts w:hint="eastAsia" w:ascii="宋体" w:hAnsi="宋体" w:cs="宋体"/>
                <w:szCs w:val="21"/>
                <w:highlight w:val="none"/>
              </w:rPr>
            </w:pPr>
            <w:r>
              <w:rPr>
                <w:rFonts w:hint="eastAsia" w:ascii="宋体" w:hAnsi="宋体" w:cs="宋体"/>
                <w:szCs w:val="21"/>
                <w:highlight w:val="none"/>
              </w:rPr>
              <w:t>监理月报未按期送建设单位单位扣1分／次，监理月报不完整扣1分；监理日记原始记录不完整、格式混乱、未附现场照片扣2分；</w:t>
            </w:r>
          </w:p>
        </w:tc>
        <w:tc>
          <w:tcPr>
            <w:tcW w:w="788" w:type="dxa"/>
            <w:vAlign w:val="center"/>
          </w:tcPr>
          <w:p w14:paraId="0FA5CBA0">
            <w:pPr>
              <w:jc w:val="left"/>
              <w:rPr>
                <w:rFonts w:hint="eastAsia" w:ascii="宋体" w:hAnsi="宋体" w:cs="宋体"/>
                <w:szCs w:val="21"/>
                <w:highlight w:val="none"/>
              </w:rPr>
            </w:pPr>
          </w:p>
        </w:tc>
      </w:tr>
      <w:tr w14:paraId="0A8A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112E062">
            <w:pPr>
              <w:jc w:val="left"/>
              <w:rPr>
                <w:rFonts w:hint="eastAsia" w:ascii="宋体" w:hAnsi="宋体" w:cs="宋体"/>
                <w:b/>
                <w:bCs/>
                <w:szCs w:val="21"/>
                <w:highlight w:val="none"/>
              </w:rPr>
            </w:pPr>
            <w:r>
              <w:rPr>
                <w:rFonts w:hint="eastAsia" w:ascii="宋体" w:hAnsi="宋体" w:cs="宋体"/>
                <w:b/>
                <w:bCs/>
                <w:szCs w:val="21"/>
                <w:highlight w:val="none"/>
              </w:rPr>
              <w:t>三</w:t>
            </w:r>
          </w:p>
        </w:tc>
        <w:tc>
          <w:tcPr>
            <w:tcW w:w="2027" w:type="dxa"/>
            <w:vAlign w:val="center"/>
          </w:tcPr>
          <w:p w14:paraId="1C36D1B1">
            <w:pPr>
              <w:jc w:val="left"/>
              <w:rPr>
                <w:rFonts w:hint="eastAsia" w:ascii="宋体" w:hAnsi="宋体" w:cs="宋体"/>
                <w:b/>
                <w:bCs/>
                <w:szCs w:val="21"/>
                <w:highlight w:val="none"/>
              </w:rPr>
            </w:pPr>
            <w:r>
              <w:rPr>
                <w:rFonts w:hint="eastAsia" w:ascii="宋体" w:hAnsi="宋体" w:cs="宋体"/>
                <w:b/>
                <w:bCs/>
                <w:szCs w:val="21"/>
                <w:highlight w:val="none"/>
              </w:rPr>
              <w:t>现场监理工作</w:t>
            </w:r>
          </w:p>
        </w:tc>
        <w:tc>
          <w:tcPr>
            <w:tcW w:w="1276" w:type="dxa"/>
            <w:vAlign w:val="center"/>
          </w:tcPr>
          <w:p w14:paraId="7E172EB7">
            <w:pPr>
              <w:jc w:val="left"/>
              <w:rPr>
                <w:rFonts w:hint="eastAsia" w:ascii="宋体" w:hAnsi="宋体" w:cs="宋体"/>
                <w:b/>
                <w:bCs/>
                <w:szCs w:val="21"/>
                <w:highlight w:val="none"/>
              </w:rPr>
            </w:pPr>
            <w:r>
              <w:rPr>
                <w:rFonts w:hint="eastAsia" w:ascii="宋体" w:hAnsi="宋体" w:cs="宋体"/>
                <w:b/>
                <w:bCs/>
                <w:szCs w:val="21"/>
                <w:highlight w:val="none"/>
              </w:rPr>
              <w:t>80</w:t>
            </w:r>
          </w:p>
        </w:tc>
        <w:tc>
          <w:tcPr>
            <w:tcW w:w="4402" w:type="dxa"/>
            <w:vAlign w:val="center"/>
          </w:tcPr>
          <w:p w14:paraId="5A682441">
            <w:pPr>
              <w:jc w:val="left"/>
              <w:rPr>
                <w:rFonts w:hint="eastAsia" w:ascii="宋体" w:hAnsi="宋体" w:cs="宋体"/>
                <w:b/>
                <w:bCs/>
                <w:szCs w:val="21"/>
                <w:highlight w:val="none"/>
              </w:rPr>
            </w:pPr>
          </w:p>
        </w:tc>
        <w:tc>
          <w:tcPr>
            <w:tcW w:w="788" w:type="dxa"/>
            <w:vAlign w:val="center"/>
          </w:tcPr>
          <w:p w14:paraId="6843C287">
            <w:pPr>
              <w:jc w:val="left"/>
              <w:rPr>
                <w:rFonts w:hint="eastAsia" w:ascii="宋体" w:hAnsi="宋体" w:cs="宋体"/>
                <w:b/>
                <w:bCs/>
                <w:szCs w:val="21"/>
                <w:highlight w:val="none"/>
              </w:rPr>
            </w:pPr>
          </w:p>
        </w:tc>
      </w:tr>
      <w:tr w14:paraId="548B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4CE3548">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75DEB351">
            <w:pPr>
              <w:jc w:val="left"/>
              <w:rPr>
                <w:rFonts w:hint="eastAsia" w:ascii="宋体" w:hAnsi="宋体" w:cs="宋体"/>
                <w:szCs w:val="21"/>
                <w:highlight w:val="none"/>
              </w:rPr>
            </w:pPr>
            <w:r>
              <w:rPr>
                <w:rFonts w:hint="eastAsia" w:ascii="宋体" w:hAnsi="宋体" w:cs="宋体"/>
                <w:szCs w:val="21"/>
                <w:highlight w:val="none"/>
              </w:rPr>
              <w:t>质量管理</w:t>
            </w:r>
          </w:p>
        </w:tc>
        <w:tc>
          <w:tcPr>
            <w:tcW w:w="1276" w:type="dxa"/>
            <w:vAlign w:val="center"/>
          </w:tcPr>
          <w:p w14:paraId="7B92120C">
            <w:pPr>
              <w:jc w:val="left"/>
              <w:rPr>
                <w:rFonts w:hint="eastAsia" w:ascii="宋体" w:hAnsi="宋体" w:cs="宋体"/>
                <w:szCs w:val="21"/>
                <w:highlight w:val="none"/>
              </w:rPr>
            </w:pPr>
            <w:r>
              <w:rPr>
                <w:rFonts w:hint="eastAsia" w:ascii="宋体" w:hAnsi="宋体" w:cs="宋体"/>
                <w:szCs w:val="21"/>
                <w:highlight w:val="none"/>
              </w:rPr>
              <w:t>25</w:t>
            </w:r>
          </w:p>
        </w:tc>
        <w:tc>
          <w:tcPr>
            <w:tcW w:w="4402" w:type="dxa"/>
            <w:vAlign w:val="center"/>
          </w:tcPr>
          <w:p w14:paraId="2DCB5EA8">
            <w:pPr>
              <w:jc w:val="left"/>
              <w:rPr>
                <w:rFonts w:hint="eastAsia" w:ascii="宋体" w:hAnsi="宋体" w:cs="宋体"/>
                <w:szCs w:val="21"/>
                <w:highlight w:val="none"/>
              </w:rPr>
            </w:pPr>
            <w:r>
              <w:rPr>
                <w:rFonts w:hint="eastAsia" w:ascii="宋体" w:hAnsi="宋体" w:cs="宋体"/>
                <w:szCs w:val="21"/>
                <w:highlight w:val="none"/>
              </w:rPr>
              <w:t>无施工组织设计、施工技术方案审核手续和审核意见扣3分/次；经审核的方案合理性未按照实施的扣2分；未督促施工单位按图施工的扣3分；未对施工单位管沟开挖、回填、压实、修复等质量管理监督整改不到位的扣5分，重点部位、重点质量工序未参与旁站或没有旁站记录扣2分／次；未能够发现质量问题，导致一般质量事故发生扣1分/次，出现重大问题未及时汇报扣5分/次；发现质量缺陷未及时指令施工方进行处理扣3分/次，无处理结果和分析报告扣1分/次；</w:t>
            </w:r>
          </w:p>
        </w:tc>
        <w:tc>
          <w:tcPr>
            <w:tcW w:w="788" w:type="dxa"/>
            <w:vAlign w:val="center"/>
          </w:tcPr>
          <w:p w14:paraId="6DFB1617">
            <w:pPr>
              <w:jc w:val="left"/>
              <w:rPr>
                <w:rFonts w:hint="eastAsia" w:ascii="宋体" w:hAnsi="宋体" w:cs="宋体"/>
                <w:szCs w:val="21"/>
                <w:highlight w:val="none"/>
              </w:rPr>
            </w:pPr>
          </w:p>
        </w:tc>
      </w:tr>
      <w:tr w14:paraId="3583D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1EEAC5B">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3C56D60E">
            <w:pPr>
              <w:jc w:val="left"/>
              <w:rPr>
                <w:rFonts w:hint="eastAsia" w:ascii="宋体" w:hAnsi="宋体" w:cs="宋体"/>
                <w:szCs w:val="21"/>
                <w:highlight w:val="none"/>
              </w:rPr>
            </w:pPr>
            <w:r>
              <w:rPr>
                <w:rFonts w:hint="eastAsia" w:ascii="宋体" w:hAnsi="宋体" w:cs="宋体"/>
                <w:szCs w:val="21"/>
                <w:highlight w:val="none"/>
              </w:rPr>
              <w:t>工地例会</w:t>
            </w:r>
          </w:p>
        </w:tc>
        <w:tc>
          <w:tcPr>
            <w:tcW w:w="1276" w:type="dxa"/>
            <w:vAlign w:val="center"/>
          </w:tcPr>
          <w:p w14:paraId="6A5EBD5D">
            <w:pPr>
              <w:jc w:val="left"/>
              <w:rPr>
                <w:rFonts w:hint="eastAsia" w:ascii="宋体" w:hAnsi="宋体" w:cs="宋体"/>
                <w:szCs w:val="21"/>
                <w:highlight w:val="none"/>
              </w:rPr>
            </w:pPr>
            <w:r>
              <w:rPr>
                <w:rFonts w:hint="eastAsia" w:ascii="宋体" w:hAnsi="宋体" w:cs="宋体"/>
                <w:szCs w:val="21"/>
                <w:highlight w:val="none"/>
              </w:rPr>
              <w:t>2</w:t>
            </w:r>
          </w:p>
        </w:tc>
        <w:tc>
          <w:tcPr>
            <w:tcW w:w="4402" w:type="dxa"/>
            <w:vAlign w:val="center"/>
          </w:tcPr>
          <w:p w14:paraId="4F93874E">
            <w:pPr>
              <w:jc w:val="left"/>
              <w:rPr>
                <w:rFonts w:hint="eastAsia" w:ascii="宋体" w:hAnsi="宋体" w:cs="宋体"/>
                <w:szCs w:val="21"/>
                <w:highlight w:val="none"/>
              </w:rPr>
            </w:pPr>
            <w:r>
              <w:rPr>
                <w:rFonts w:hint="eastAsia" w:ascii="宋体" w:hAnsi="宋体" w:cs="宋体"/>
                <w:szCs w:val="21"/>
                <w:highlight w:val="none"/>
              </w:rPr>
              <w:t>未及时召开工地例会并形成会议记录的扣2分/次</w:t>
            </w:r>
          </w:p>
        </w:tc>
        <w:tc>
          <w:tcPr>
            <w:tcW w:w="788" w:type="dxa"/>
            <w:vAlign w:val="center"/>
          </w:tcPr>
          <w:p w14:paraId="69BA921A">
            <w:pPr>
              <w:jc w:val="left"/>
              <w:rPr>
                <w:rFonts w:hint="eastAsia" w:ascii="宋体" w:hAnsi="宋体" w:cs="宋体"/>
                <w:szCs w:val="21"/>
                <w:highlight w:val="none"/>
              </w:rPr>
            </w:pPr>
          </w:p>
        </w:tc>
      </w:tr>
      <w:tr w14:paraId="6044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DC1F0B1">
            <w:pPr>
              <w:jc w:val="left"/>
              <w:rPr>
                <w:rFonts w:hint="eastAsia" w:ascii="宋体" w:hAnsi="宋体" w:cs="宋体"/>
                <w:szCs w:val="21"/>
                <w:highlight w:val="none"/>
              </w:rPr>
            </w:pPr>
            <w:r>
              <w:rPr>
                <w:rFonts w:hint="eastAsia" w:ascii="宋体" w:hAnsi="宋体" w:cs="宋体"/>
                <w:szCs w:val="21"/>
                <w:highlight w:val="none"/>
              </w:rPr>
              <w:t>3</w:t>
            </w:r>
          </w:p>
        </w:tc>
        <w:tc>
          <w:tcPr>
            <w:tcW w:w="2027" w:type="dxa"/>
            <w:vAlign w:val="center"/>
          </w:tcPr>
          <w:p w14:paraId="343B752B">
            <w:pPr>
              <w:jc w:val="left"/>
              <w:rPr>
                <w:rFonts w:hint="eastAsia" w:ascii="宋体" w:hAnsi="宋体" w:cs="宋体"/>
                <w:szCs w:val="21"/>
                <w:highlight w:val="none"/>
              </w:rPr>
            </w:pPr>
            <w:r>
              <w:rPr>
                <w:rFonts w:hint="eastAsia" w:ascii="宋体" w:hAnsi="宋体" w:cs="宋体"/>
                <w:szCs w:val="21"/>
                <w:highlight w:val="none"/>
              </w:rPr>
              <w:t>工程隐蔽、变更签证</w:t>
            </w:r>
          </w:p>
        </w:tc>
        <w:tc>
          <w:tcPr>
            <w:tcW w:w="1276" w:type="dxa"/>
            <w:vAlign w:val="center"/>
          </w:tcPr>
          <w:p w14:paraId="680AB54E">
            <w:pPr>
              <w:jc w:val="left"/>
              <w:rPr>
                <w:rFonts w:hint="eastAsia" w:ascii="宋体" w:hAnsi="宋体" w:cs="宋体"/>
                <w:szCs w:val="21"/>
                <w:highlight w:val="none"/>
              </w:rPr>
            </w:pPr>
            <w:r>
              <w:rPr>
                <w:rFonts w:hint="eastAsia" w:ascii="宋体" w:hAnsi="宋体" w:cs="宋体"/>
                <w:szCs w:val="21"/>
                <w:highlight w:val="none"/>
              </w:rPr>
              <w:t>6</w:t>
            </w:r>
          </w:p>
        </w:tc>
        <w:tc>
          <w:tcPr>
            <w:tcW w:w="4402" w:type="dxa"/>
            <w:vAlign w:val="center"/>
          </w:tcPr>
          <w:p w14:paraId="7DDA647F">
            <w:pPr>
              <w:jc w:val="left"/>
              <w:rPr>
                <w:rFonts w:hint="eastAsia" w:ascii="宋体" w:hAnsi="宋体" w:cs="宋体"/>
                <w:szCs w:val="21"/>
                <w:highlight w:val="none"/>
              </w:rPr>
            </w:pPr>
            <w:r>
              <w:rPr>
                <w:rFonts w:hint="eastAsia" w:ascii="宋体" w:hAnsi="宋体" w:cs="宋体"/>
                <w:szCs w:val="21"/>
                <w:highlight w:val="none"/>
              </w:rPr>
              <w:t>工程隐蔽签证督促不及时、规范的扣1分／次，二星期内未督促施工单位草签改正签手续的签证的扣1分／次，签证资料无实质性意见的扣2分／次。工程变更未执行集团变更规定，未组织相关部门确认未批先建的扣2分/次。</w:t>
            </w:r>
          </w:p>
        </w:tc>
        <w:tc>
          <w:tcPr>
            <w:tcW w:w="788" w:type="dxa"/>
            <w:vAlign w:val="center"/>
          </w:tcPr>
          <w:p w14:paraId="3E4E634F">
            <w:pPr>
              <w:jc w:val="left"/>
              <w:rPr>
                <w:rFonts w:hint="eastAsia" w:ascii="宋体" w:hAnsi="宋体" w:cs="宋体"/>
                <w:szCs w:val="21"/>
                <w:highlight w:val="none"/>
              </w:rPr>
            </w:pPr>
          </w:p>
        </w:tc>
      </w:tr>
      <w:tr w14:paraId="040E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304C004">
            <w:pPr>
              <w:jc w:val="left"/>
              <w:rPr>
                <w:rFonts w:hint="eastAsia" w:ascii="宋体" w:hAnsi="宋体" w:cs="宋体"/>
                <w:szCs w:val="21"/>
                <w:highlight w:val="none"/>
              </w:rPr>
            </w:pPr>
            <w:r>
              <w:rPr>
                <w:rFonts w:hint="eastAsia" w:ascii="宋体" w:hAnsi="宋体" w:cs="宋体"/>
                <w:szCs w:val="21"/>
                <w:highlight w:val="none"/>
              </w:rPr>
              <w:t>4</w:t>
            </w:r>
          </w:p>
        </w:tc>
        <w:tc>
          <w:tcPr>
            <w:tcW w:w="2027" w:type="dxa"/>
            <w:vAlign w:val="center"/>
          </w:tcPr>
          <w:p w14:paraId="28472429">
            <w:pPr>
              <w:jc w:val="left"/>
              <w:rPr>
                <w:rFonts w:hint="eastAsia" w:ascii="宋体" w:hAnsi="宋体" w:cs="宋体"/>
                <w:szCs w:val="21"/>
                <w:highlight w:val="none"/>
              </w:rPr>
            </w:pPr>
            <w:r>
              <w:rPr>
                <w:rFonts w:hint="eastAsia" w:ascii="宋体" w:hAnsi="宋体" w:cs="宋体"/>
                <w:szCs w:val="21"/>
                <w:highlight w:val="none"/>
              </w:rPr>
              <w:t>材料设备验收、检测及认质核价</w:t>
            </w:r>
          </w:p>
        </w:tc>
        <w:tc>
          <w:tcPr>
            <w:tcW w:w="1276" w:type="dxa"/>
            <w:vAlign w:val="center"/>
          </w:tcPr>
          <w:p w14:paraId="4C42F00B">
            <w:pPr>
              <w:jc w:val="left"/>
              <w:rPr>
                <w:rFonts w:hint="eastAsia" w:ascii="宋体" w:hAnsi="宋体" w:cs="宋体"/>
                <w:szCs w:val="21"/>
                <w:highlight w:val="none"/>
              </w:rPr>
            </w:pPr>
            <w:r>
              <w:rPr>
                <w:rFonts w:hint="eastAsia" w:ascii="宋体" w:hAnsi="宋体" w:cs="宋体"/>
                <w:szCs w:val="21"/>
                <w:highlight w:val="none"/>
              </w:rPr>
              <w:t>8</w:t>
            </w:r>
          </w:p>
        </w:tc>
        <w:tc>
          <w:tcPr>
            <w:tcW w:w="4402" w:type="dxa"/>
            <w:vAlign w:val="center"/>
          </w:tcPr>
          <w:p w14:paraId="3EFFA3D9">
            <w:pPr>
              <w:jc w:val="left"/>
              <w:rPr>
                <w:rFonts w:hint="eastAsia" w:ascii="宋体" w:hAnsi="宋体" w:cs="宋体"/>
                <w:szCs w:val="21"/>
                <w:highlight w:val="none"/>
              </w:rPr>
            </w:pPr>
            <w:r>
              <w:rPr>
                <w:rFonts w:hint="eastAsia" w:ascii="宋体" w:hAnsi="宋体" w:cs="宋体"/>
                <w:szCs w:val="21"/>
                <w:highlight w:val="none"/>
              </w:rPr>
              <w:t>未落实专人负责施工方材料审核、验收、登记管理的扣3分/次，未按规定审核督促施工方材料送检的扣1分/次，未进行现场送检见证取样管理的扣1分/次，未组织相关单位开展材料设备认质核价审核的扣3分。</w:t>
            </w:r>
          </w:p>
        </w:tc>
        <w:tc>
          <w:tcPr>
            <w:tcW w:w="788" w:type="dxa"/>
            <w:vAlign w:val="center"/>
          </w:tcPr>
          <w:p w14:paraId="703D8B1B">
            <w:pPr>
              <w:jc w:val="left"/>
              <w:rPr>
                <w:rFonts w:hint="eastAsia" w:ascii="宋体" w:hAnsi="宋体" w:cs="宋体"/>
                <w:szCs w:val="21"/>
                <w:highlight w:val="none"/>
              </w:rPr>
            </w:pPr>
          </w:p>
        </w:tc>
      </w:tr>
      <w:tr w14:paraId="62F74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83ABA6A">
            <w:pPr>
              <w:jc w:val="left"/>
              <w:rPr>
                <w:rFonts w:hint="eastAsia" w:ascii="宋体" w:hAnsi="宋体" w:cs="宋体"/>
                <w:szCs w:val="21"/>
                <w:highlight w:val="none"/>
              </w:rPr>
            </w:pPr>
            <w:r>
              <w:rPr>
                <w:rFonts w:hint="eastAsia" w:ascii="宋体" w:hAnsi="宋体" w:cs="宋体"/>
                <w:szCs w:val="21"/>
                <w:highlight w:val="none"/>
              </w:rPr>
              <w:t>5</w:t>
            </w:r>
          </w:p>
        </w:tc>
        <w:tc>
          <w:tcPr>
            <w:tcW w:w="2027" w:type="dxa"/>
            <w:vAlign w:val="center"/>
          </w:tcPr>
          <w:p w14:paraId="400E3B3E">
            <w:pPr>
              <w:jc w:val="left"/>
              <w:rPr>
                <w:rFonts w:hint="eastAsia" w:ascii="宋体" w:hAnsi="宋体" w:cs="宋体"/>
                <w:szCs w:val="21"/>
                <w:highlight w:val="none"/>
              </w:rPr>
            </w:pPr>
            <w:r>
              <w:rPr>
                <w:rFonts w:hint="eastAsia" w:ascii="宋体" w:hAnsi="宋体" w:cs="宋体"/>
                <w:szCs w:val="21"/>
                <w:highlight w:val="none"/>
              </w:rPr>
              <w:t>进度控制</w:t>
            </w:r>
          </w:p>
        </w:tc>
        <w:tc>
          <w:tcPr>
            <w:tcW w:w="1276" w:type="dxa"/>
            <w:vAlign w:val="center"/>
          </w:tcPr>
          <w:p w14:paraId="7D037EFB">
            <w:pPr>
              <w:jc w:val="left"/>
              <w:rPr>
                <w:rFonts w:hint="eastAsia" w:ascii="宋体" w:hAnsi="宋体" w:cs="宋体"/>
                <w:szCs w:val="21"/>
                <w:highlight w:val="none"/>
              </w:rPr>
            </w:pPr>
            <w:r>
              <w:rPr>
                <w:rFonts w:hint="eastAsia" w:ascii="宋体" w:hAnsi="宋体" w:cs="宋体"/>
                <w:szCs w:val="21"/>
                <w:highlight w:val="none"/>
              </w:rPr>
              <w:t>9</w:t>
            </w:r>
          </w:p>
        </w:tc>
        <w:tc>
          <w:tcPr>
            <w:tcW w:w="4402" w:type="dxa"/>
            <w:vAlign w:val="center"/>
          </w:tcPr>
          <w:p w14:paraId="0A2B4BA3">
            <w:pPr>
              <w:jc w:val="left"/>
              <w:rPr>
                <w:rFonts w:hint="eastAsia" w:ascii="宋体" w:hAnsi="宋体" w:cs="宋体"/>
                <w:szCs w:val="21"/>
                <w:highlight w:val="none"/>
              </w:rPr>
            </w:pPr>
            <w:r>
              <w:rPr>
                <w:rFonts w:hint="eastAsia" w:ascii="宋体" w:hAnsi="宋体" w:cs="宋体"/>
                <w:szCs w:val="21"/>
                <w:highlight w:val="none"/>
              </w:rPr>
              <w:t>未每月按时上报施工进度统计报表扣1分/次，未经常深入工地了解施工方的工、料、机投入情况扣1分/次，对工期滞后未督促施工落实有效措施扣2分/次，未按合同工期完工未进行有效分析，未及时审核督促施工方延期申请扣2分/次，完工项目未及时督促竣工验收的扣2分，竣工项目未及时督促施工单位上报竣工结算的扣1分。</w:t>
            </w:r>
          </w:p>
        </w:tc>
        <w:tc>
          <w:tcPr>
            <w:tcW w:w="788" w:type="dxa"/>
            <w:vAlign w:val="center"/>
          </w:tcPr>
          <w:p w14:paraId="3A0167C9">
            <w:pPr>
              <w:jc w:val="left"/>
              <w:rPr>
                <w:rFonts w:hint="eastAsia" w:ascii="宋体" w:hAnsi="宋体" w:cs="宋体"/>
                <w:szCs w:val="21"/>
                <w:highlight w:val="none"/>
              </w:rPr>
            </w:pPr>
          </w:p>
        </w:tc>
      </w:tr>
      <w:tr w14:paraId="64B19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452080A">
            <w:pPr>
              <w:jc w:val="left"/>
              <w:rPr>
                <w:rFonts w:hint="eastAsia" w:ascii="宋体" w:hAnsi="宋体" w:cs="宋体"/>
                <w:szCs w:val="21"/>
                <w:highlight w:val="none"/>
              </w:rPr>
            </w:pPr>
            <w:r>
              <w:rPr>
                <w:rFonts w:hint="eastAsia" w:ascii="宋体" w:hAnsi="宋体" w:cs="宋体"/>
                <w:szCs w:val="21"/>
                <w:highlight w:val="none"/>
              </w:rPr>
              <w:t>6</w:t>
            </w:r>
          </w:p>
        </w:tc>
        <w:tc>
          <w:tcPr>
            <w:tcW w:w="2027" w:type="dxa"/>
            <w:vAlign w:val="center"/>
          </w:tcPr>
          <w:p w14:paraId="1A0B37F5">
            <w:pPr>
              <w:jc w:val="left"/>
              <w:rPr>
                <w:rFonts w:hint="eastAsia" w:ascii="宋体" w:hAnsi="宋体" w:cs="宋体"/>
                <w:szCs w:val="21"/>
                <w:highlight w:val="none"/>
              </w:rPr>
            </w:pPr>
            <w:r>
              <w:rPr>
                <w:rFonts w:hint="eastAsia" w:ascii="宋体" w:hAnsi="宋体" w:cs="宋体"/>
                <w:szCs w:val="21"/>
                <w:highlight w:val="none"/>
              </w:rPr>
              <w:t>计量及资金控制</w:t>
            </w:r>
          </w:p>
        </w:tc>
        <w:tc>
          <w:tcPr>
            <w:tcW w:w="1276" w:type="dxa"/>
            <w:vAlign w:val="center"/>
          </w:tcPr>
          <w:p w14:paraId="3B6E810E">
            <w:pPr>
              <w:jc w:val="left"/>
              <w:rPr>
                <w:rFonts w:hint="eastAsia" w:ascii="宋体" w:hAnsi="宋体" w:cs="宋体"/>
                <w:szCs w:val="21"/>
                <w:highlight w:val="none"/>
              </w:rPr>
            </w:pPr>
            <w:r>
              <w:rPr>
                <w:rFonts w:hint="eastAsia" w:ascii="宋体" w:hAnsi="宋体" w:cs="宋体"/>
                <w:szCs w:val="21"/>
                <w:highlight w:val="none"/>
              </w:rPr>
              <w:t>5</w:t>
            </w:r>
          </w:p>
        </w:tc>
        <w:tc>
          <w:tcPr>
            <w:tcW w:w="4402" w:type="dxa"/>
            <w:vAlign w:val="center"/>
          </w:tcPr>
          <w:p w14:paraId="1959C1C4">
            <w:pPr>
              <w:jc w:val="left"/>
              <w:rPr>
                <w:rFonts w:hint="eastAsia" w:ascii="宋体" w:hAnsi="宋体" w:cs="宋体"/>
                <w:szCs w:val="21"/>
                <w:highlight w:val="none"/>
              </w:rPr>
            </w:pPr>
            <w:r>
              <w:rPr>
                <w:rFonts w:hint="eastAsia" w:ascii="宋体" w:hAnsi="宋体" w:cs="宋体"/>
                <w:szCs w:val="21"/>
                <w:highlight w:val="none"/>
              </w:rPr>
              <w:t>未按时督促施工单位做好计量、结算资料扣2分／份；工程量发生变化未及时提出意见扣1分／次；实际工程量与支付申请有问题扣2分／份，工程量弄虚作假的扣5分。</w:t>
            </w:r>
          </w:p>
        </w:tc>
        <w:tc>
          <w:tcPr>
            <w:tcW w:w="788" w:type="dxa"/>
            <w:vAlign w:val="center"/>
          </w:tcPr>
          <w:p w14:paraId="236B4137">
            <w:pPr>
              <w:jc w:val="left"/>
              <w:rPr>
                <w:rFonts w:hint="eastAsia" w:ascii="宋体" w:hAnsi="宋体" w:cs="宋体"/>
                <w:szCs w:val="21"/>
                <w:highlight w:val="none"/>
              </w:rPr>
            </w:pPr>
          </w:p>
        </w:tc>
      </w:tr>
      <w:tr w14:paraId="26C5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4" w:hRule="atLeast"/>
          <w:jc w:val="center"/>
        </w:trPr>
        <w:tc>
          <w:tcPr>
            <w:tcW w:w="756" w:type="dxa"/>
            <w:vAlign w:val="center"/>
          </w:tcPr>
          <w:p w14:paraId="0C5F3CE9">
            <w:pPr>
              <w:jc w:val="left"/>
              <w:rPr>
                <w:rFonts w:hint="eastAsia" w:ascii="宋体" w:hAnsi="宋体" w:cs="宋体"/>
                <w:szCs w:val="21"/>
                <w:highlight w:val="none"/>
              </w:rPr>
            </w:pPr>
            <w:r>
              <w:rPr>
                <w:rFonts w:hint="eastAsia" w:ascii="宋体" w:hAnsi="宋体" w:cs="宋体"/>
                <w:szCs w:val="21"/>
                <w:highlight w:val="none"/>
              </w:rPr>
              <w:t>7</w:t>
            </w:r>
          </w:p>
        </w:tc>
        <w:tc>
          <w:tcPr>
            <w:tcW w:w="2027" w:type="dxa"/>
            <w:vAlign w:val="center"/>
          </w:tcPr>
          <w:p w14:paraId="3CB06972">
            <w:pPr>
              <w:jc w:val="left"/>
              <w:rPr>
                <w:rFonts w:hint="eastAsia" w:ascii="宋体" w:hAnsi="宋体" w:cs="宋体"/>
                <w:szCs w:val="21"/>
                <w:highlight w:val="none"/>
              </w:rPr>
            </w:pPr>
            <w:r>
              <w:rPr>
                <w:rFonts w:hint="eastAsia" w:ascii="宋体" w:hAnsi="宋体" w:cs="宋体"/>
                <w:szCs w:val="21"/>
                <w:highlight w:val="none"/>
              </w:rPr>
              <w:t>安全文明管理</w:t>
            </w:r>
          </w:p>
        </w:tc>
        <w:tc>
          <w:tcPr>
            <w:tcW w:w="1276" w:type="dxa"/>
            <w:vAlign w:val="center"/>
          </w:tcPr>
          <w:p w14:paraId="56CA1A19">
            <w:pPr>
              <w:jc w:val="left"/>
              <w:rPr>
                <w:rFonts w:hint="eastAsia" w:ascii="宋体" w:hAnsi="宋体" w:cs="宋体"/>
                <w:szCs w:val="21"/>
                <w:highlight w:val="none"/>
              </w:rPr>
            </w:pPr>
            <w:r>
              <w:rPr>
                <w:rFonts w:hint="eastAsia" w:ascii="宋体" w:hAnsi="宋体" w:cs="宋体"/>
                <w:szCs w:val="21"/>
                <w:highlight w:val="none"/>
              </w:rPr>
              <w:t>20</w:t>
            </w:r>
          </w:p>
        </w:tc>
        <w:tc>
          <w:tcPr>
            <w:tcW w:w="4402" w:type="dxa"/>
            <w:vAlign w:val="center"/>
          </w:tcPr>
          <w:p w14:paraId="22580933">
            <w:pPr>
              <w:jc w:val="left"/>
              <w:rPr>
                <w:rFonts w:hint="eastAsia" w:ascii="宋体" w:hAnsi="宋体" w:cs="宋体"/>
                <w:szCs w:val="21"/>
                <w:highlight w:val="none"/>
              </w:rPr>
            </w:pPr>
            <w:r>
              <w:rPr>
                <w:rFonts w:hint="eastAsia" w:ascii="宋体" w:hAnsi="宋体" w:cs="宋体"/>
                <w:szCs w:val="21"/>
                <w:highlight w:val="none"/>
              </w:rPr>
              <w:t>出现一般安全事故扣2分（出现重大事故扣20分）；安全检查未能及时发现现场的重大安全事故隐患，未及时下达整改通知书并上报建设单位扣5分/次，未进行安全交底或安全施工方案审批扣2分，现场道路整洁、材料堆放覆盖、废弃物、土方清理及时、扬尘管控、废气及废水排放等安全文明管理不到位、整改不及时扣5分；未对施工单位安全台账检查整改的扣2分，无安全文明施工检查记录扣2分/次，未督促施工方落实好施工现场安全警示标志等按要求规范设置扣2分/次。</w:t>
            </w:r>
          </w:p>
        </w:tc>
        <w:tc>
          <w:tcPr>
            <w:tcW w:w="788" w:type="dxa"/>
            <w:vAlign w:val="center"/>
          </w:tcPr>
          <w:p w14:paraId="2665B462">
            <w:pPr>
              <w:jc w:val="left"/>
              <w:rPr>
                <w:rFonts w:hint="eastAsia" w:ascii="宋体" w:hAnsi="宋体" w:cs="宋体"/>
                <w:szCs w:val="21"/>
                <w:highlight w:val="none"/>
              </w:rPr>
            </w:pPr>
          </w:p>
        </w:tc>
      </w:tr>
      <w:tr w14:paraId="6E9A8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56" w:type="dxa"/>
            <w:vAlign w:val="center"/>
          </w:tcPr>
          <w:p w14:paraId="0F169D8D">
            <w:pPr>
              <w:jc w:val="left"/>
              <w:rPr>
                <w:rFonts w:hint="eastAsia" w:ascii="宋体" w:hAnsi="宋体" w:cs="宋体"/>
                <w:szCs w:val="21"/>
                <w:highlight w:val="none"/>
              </w:rPr>
            </w:pPr>
            <w:r>
              <w:rPr>
                <w:rFonts w:hint="eastAsia" w:ascii="宋体" w:hAnsi="宋体" w:cs="宋体"/>
                <w:szCs w:val="21"/>
                <w:highlight w:val="none"/>
              </w:rPr>
              <w:t>8</w:t>
            </w:r>
          </w:p>
        </w:tc>
        <w:tc>
          <w:tcPr>
            <w:tcW w:w="2027" w:type="dxa"/>
            <w:vAlign w:val="center"/>
          </w:tcPr>
          <w:p w14:paraId="71A6D3E1">
            <w:pPr>
              <w:jc w:val="left"/>
              <w:rPr>
                <w:rFonts w:hint="eastAsia" w:ascii="宋体" w:hAnsi="宋体" w:cs="宋体"/>
                <w:szCs w:val="21"/>
                <w:highlight w:val="none"/>
              </w:rPr>
            </w:pPr>
            <w:r>
              <w:rPr>
                <w:rFonts w:hint="eastAsia" w:ascii="宋体" w:hAnsi="宋体" w:cs="宋体"/>
                <w:szCs w:val="21"/>
                <w:highlight w:val="none"/>
              </w:rPr>
              <w:t>实名制管理</w:t>
            </w:r>
          </w:p>
        </w:tc>
        <w:tc>
          <w:tcPr>
            <w:tcW w:w="1276" w:type="dxa"/>
            <w:vAlign w:val="center"/>
          </w:tcPr>
          <w:p w14:paraId="281B5EA5">
            <w:pPr>
              <w:jc w:val="left"/>
              <w:rPr>
                <w:rFonts w:hint="eastAsia" w:ascii="宋体" w:hAnsi="宋体" w:cs="宋体"/>
                <w:szCs w:val="21"/>
                <w:highlight w:val="none"/>
              </w:rPr>
            </w:pPr>
            <w:r>
              <w:rPr>
                <w:rFonts w:hint="eastAsia" w:ascii="宋体" w:hAnsi="宋体" w:cs="宋体"/>
                <w:szCs w:val="21"/>
                <w:highlight w:val="none"/>
              </w:rPr>
              <w:t>5</w:t>
            </w:r>
          </w:p>
        </w:tc>
        <w:tc>
          <w:tcPr>
            <w:tcW w:w="4402" w:type="dxa"/>
            <w:vAlign w:val="center"/>
          </w:tcPr>
          <w:p w14:paraId="3D0A95D1">
            <w:pPr>
              <w:jc w:val="left"/>
              <w:rPr>
                <w:rFonts w:hint="eastAsia" w:ascii="宋体" w:hAnsi="宋体" w:cs="宋体"/>
                <w:szCs w:val="21"/>
                <w:highlight w:val="none"/>
              </w:rPr>
            </w:pPr>
            <w:r>
              <w:rPr>
                <w:rFonts w:hint="eastAsia" w:ascii="宋体" w:hAnsi="宋体" w:cs="宋体"/>
                <w:szCs w:val="21"/>
                <w:highlight w:val="none"/>
              </w:rPr>
              <w:t>督促施工单位做好项目实名制管理工作，未做好农民工合同签订、考勤、工资发放、公示等管理工作的扣5分。</w:t>
            </w:r>
          </w:p>
        </w:tc>
        <w:tc>
          <w:tcPr>
            <w:tcW w:w="788" w:type="dxa"/>
            <w:vAlign w:val="center"/>
          </w:tcPr>
          <w:p w14:paraId="5A223D67">
            <w:pPr>
              <w:jc w:val="left"/>
              <w:rPr>
                <w:rFonts w:hint="eastAsia" w:ascii="宋体" w:hAnsi="宋体" w:cs="宋体"/>
                <w:szCs w:val="21"/>
                <w:highlight w:val="none"/>
              </w:rPr>
            </w:pPr>
          </w:p>
        </w:tc>
      </w:tr>
      <w:tr w14:paraId="7EE3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56" w:type="dxa"/>
            <w:vAlign w:val="center"/>
          </w:tcPr>
          <w:p w14:paraId="3948BB2E">
            <w:pPr>
              <w:jc w:val="left"/>
              <w:rPr>
                <w:rFonts w:hint="eastAsia" w:ascii="宋体" w:hAnsi="宋体" w:cs="宋体"/>
                <w:szCs w:val="21"/>
                <w:highlight w:val="none"/>
              </w:rPr>
            </w:pPr>
          </w:p>
        </w:tc>
        <w:tc>
          <w:tcPr>
            <w:tcW w:w="2027" w:type="dxa"/>
            <w:vAlign w:val="center"/>
          </w:tcPr>
          <w:p w14:paraId="3641A1DD">
            <w:pPr>
              <w:jc w:val="left"/>
              <w:rPr>
                <w:rFonts w:hint="eastAsia" w:ascii="宋体" w:hAnsi="宋体" w:cs="宋体"/>
                <w:b/>
                <w:bCs/>
                <w:szCs w:val="21"/>
                <w:highlight w:val="none"/>
              </w:rPr>
            </w:pPr>
            <w:r>
              <w:rPr>
                <w:rFonts w:hint="eastAsia" w:ascii="宋体" w:hAnsi="宋体" w:cs="宋体"/>
                <w:b/>
                <w:bCs/>
                <w:szCs w:val="21"/>
                <w:highlight w:val="none"/>
              </w:rPr>
              <w:t>总计得分</w:t>
            </w:r>
          </w:p>
        </w:tc>
        <w:tc>
          <w:tcPr>
            <w:tcW w:w="1276" w:type="dxa"/>
            <w:vAlign w:val="center"/>
          </w:tcPr>
          <w:p w14:paraId="0EEB6013">
            <w:pPr>
              <w:jc w:val="left"/>
              <w:rPr>
                <w:rFonts w:hint="eastAsia" w:ascii="宋体" w:hAnsi="宋体" w:cs="宋体"/>
                <w:b/>
                <w:bCs/>
                <w:szCs w:val="21"/>
                <w:highlight w:val="none"/>
              </w:rPr>
            </w:pPr>
            <w:r>
              <w:rPr>
                <w:rFonts w:hint="eastAsia" w:ascii="宋体" w:hAnsi="宋体" w:cs="宋体"/>
                <w:b/>
                <w:bCs/>
                <w:szCs w:val="21"/>
                <w:highlight w:val="none"/>
              </w:rPr>
              <w:t>100</w:t>
            </w:r>
          </w:p>
        </w:tc>
        <w:tc>
          <w:tcPr>
            <w:tcW w:w="4402" w:type="dxa"/>
            <w:vAlign w:val="center"/>
          </w:tcPr>
          <w:p w14:paraId="76D162A2">
            <w:pPr>
              <w:jc w:val="left"/>
              <w:rPr>
                <w:rFonts w:hint="eastAsia" w:ascii="宋体" w:hAnsi="宋体" w:cs="宋体"/>
                <w:b/>
                <w:bCs/>
                <w:szCs w:val="21"/>
                <w:highlight w:val="none"/>
              </w:rPr>
            </w:pPr>
          </w:p>
        </w:tc>
        <w:tc>
          <w:tcPr>
            <w:tcW w:w="788" w:type="dxa"/>
            <w:vAlign w:val="center"/>
          </w:tcPr>
          <w:p w14:paraId="59C1E7B9">
            <w:pPr>
              <w:jc w:val="left"/>
              <w:rPr>
                <w:rFonts w:hint="eastAsia" w:ascii="宋体" w:hAnsi="宋体" w:cs="宋体"/>
                <w:b/>
                <w:bCs/>
                <w:szCs w:val="21"/>
                <w:highlight w:val="none"/>
              </w:rPr>
            </w:pPr>
          </w:p>
        </w:tc>
      </w:tr>
    </w:tbl>
    <w:p w14:paraId="78226722">
      <w:pPr>
        <w:jc w:val="left"/>
        <w:rPr>
          <w:rFonts w:hint="eastAsia" w:ascii="宋体" w:hAnsi="宋体" w:cs="宋体"/>
          <w:b/>
          <w:bCs/>
          <w:sz w:val="28"/>
          <w:szCs w:val="28"/>
          <w:highlight w:val="none"/>
          <w:u w:val="single"/>
        </w:rPr>
      </w:pPr>
      <w:r>
        <w:rPr>
          <w:rFonts w:hint="eastAsia" w:ascii="宋体" w:hAnsi="宋体" w:cs="宋体"/>
          <w:b/>
          <w:bCs/>
          <w:sz w:val="28"/>
          <w:szCs w:val="28"/>
          <w:highlight w:val="none"/>
        </w:rPr>
        <w:t>考核结果（优秀/合格/不合格）：</w:t>
      </w:r>
    </w:p>
    <w:p w14:paraId="5ADB7311">
      <w:pPr>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说明：本考核细则，总分为100分，考核分数与监理单位费用挂钩，考核得分90～100的，考核结果为“优秀”，费用不打折，考核得分60～89分的，考核结果为“合格”，费用计算式=监理单位上报费用*考核得分/90。考核得分59分以下的，考核结果为“不合格”，建设单位支付咨询费的60%，并中止其在宜兴市公用环保集团有限公司以及下属公司发包项目的投标资格一年。</w:t>
      </w:r>
    </w:p>
    <w:p w14:paraId="2FDA4CC9">
      <w:pPr>
        <w:ind w:firstLine="482" w:firstLineChars="200"/>
        <w:jc w:val="left"/>
        <w:rPr>
          <w:rFonts w:hint="eastAsia" w:ascii="宋体" w:hAnsi="宋体" w:cs="宋体"/>
          <w:b/>
          <w:bCs/>
          <w:sz w:val="24"/>
          <w:szCs w:val="24"/>
          <w:highlight w:val="none"/>
        </w:rPr>
      </w:pPr>
    </w:p>
    <w:p w14:paraId="64C08D4A">
      <w:pPr>
        <w:jc w:val="left"/>
        <w:rPr>
          <w:rFonts w:hint="eastAsia" w:ascii="宋体" w:hAnsi="宋体" w:cs="宋体"/>
          <w:b/>
          <w:bCs/>
          <w:sz w:val="30"/>
          <w:szCs w:val="30"/>
          <w:highlight w:val="none"/>
        </w:rPr>
      </w:pPr>
    </w:p>
    <w:p w14:paraId="49F93AA8">
      <w:pPr>
        <w:ind w:firstLine="3614" w:firstLineChars="1200"/>
        <w:jc w:val="left"/>
        <w:rPr>
          <w:rFonts w:hint="eastAsia" w:ascii="宋体" w:hAnsi="宋体" w:cs="宋体"/>
          <w:b/>
          <w:bCs/>
          <w:sz w:val="30"/>
          <w:szCs w:val="30"/>
          <w:highlight w:val="none"/>
        </w:rPr>
      </w:pPr>
      <w:r>
        <w:rPr>
          <w:rFonts w:hint="eastAsia" w:ascii="宋体" w:hAnsi="宋体" w:cs="宋体"/>
          <w:b/>
          <w:bCs/>
          <w:sz w:val="30"/>
          <w:szCs w:val="30"/>
          <w:highlight w:val="none"/>
        </w:rPr>
        <w:t>监理纪律</w:t>
      </w:r>
    </w:p>
    <w:p w14:paraId="794C12A6">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监理单位在日常工作过程中,有下列情况的，该项目直接考核结果为“不合格”，并视情况追究有关监理人员的责任，涉及违规、违纪、违法的，移送相关部门处理。</w:t>
      </w:r>
    </w:p>
    <w:p w14:paraId="76745F6A">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1、超越本单位资质等级许可的范围或者以他人名义或者是允许他人以自已的名义承担工程监理业务；</w:t>
      </w:r>
    </w:p>
    <w:p w14:paraId="697D621D">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2、施工现场未按国家和省有关规定配备必要的上岗人员或者是使用无证人员上岗；</w:t>
      </w:r>
    </w:p>
    <w:p w14:paraId="0A29CF13">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3、对工程参建各方、从业人员和材料设备供应商的资质、资格、生产许可不履行核验，从而使其进入工程现场。</w:t>
      </w:r>
    </w:p>
    <w:p w14:paraId="00F9CBE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4、对发现工程施工不符合质量、安全标准而不坚决制止。</w:t>
      </w:r>
    </w:p>
    <w:p w14:paraId="0A0FC851">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5、对发现工程中使用不符合设计要求及国家质量、安全标准的材料、设备，没有阻止施工人使用及发现不合格产品不按规定及时上报。</w:t>
      </w:r>
    </w:p>
    <w:p w14:paraId="1A8480C7">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6、不认真履行监理制度，所提供的工程监理资料有弄虚作假。</w:t>
      </w:r>
    </w:p>
    <w:p w14:paraId="684D1DDB">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7、丢失重要、特别重要的资料（如：相关合同原件、施工单位往来文件、建设单位往来文件、上级机关重要发文等）；</w:t>
      </w:r>
    </w:p>
    <w:p w14:paraId="717F4EA8">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8、向施工方承包工程和指定分包，经营或指定推销、采购建筑材料和设备；</w:t>
      </w:r>
    </w:p>
    <w:p w14:paraId="3BF9815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9、已签证单项工程量复核误差率＞2%，造价复核误差率＞2%以上；</w:t>
      </w:r>
    </w:p>
    <w:p w14:paraId="6DE489D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已签证单项工程量复核误差率=（建设单位复核核增单项工程量+建设单位复核核减单项工程量+审计局审核增单项工程量+审计局审核减单项工程量）/送审单项工程*100%。（由非监理单位原因造成的复核误差不在考核范围之内）；</w:t>
      </w:r>
    </w:p>
    <w:p w14:paraId="73894B7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10、中标单位擅自更换中标人员；</w:t>
      </w:r>
    </w:p>
    <w:p w14:paraId="7520AAA2">
      <w:pPr>
        <w:ind w:firstLine="480" w:firstLineChars="200"/>
        <w:jc w:val="left"/>
        <w:rPr>
          <w:rFonts w:hint="eastAsia" w:ascii="宋体" w:hAnsi="宋体" w:cs="宋体"/>
          <w:snapToGrid w:val="0"/>
          <w:kern w:val="0"/>
          <w:sz w:val="32"/>
          <w:highlight w:val="none"/>
        </w:rPr>
      </w:pPr>
      <w:r>
        <w:rPr>
          <w:rFonts w:hint="eastAsia" w:ascii="宋体" w:hAnsi="宋体" w:cs="宋体"/>
          <w:sz w:val="24"/>
          <w:szCs w:val="24"/>
          <w:highlight w:val="none"/>
        </w:rPr>
        <w:t>11、其他违反法律、法规的行为。</w:t>
      </w:r>
      <w:bookmarkEnd w:id="235"/>
      <w:bookmarkEnd w:id="236"/>
      <w:bookmarkEnd w:id="237"/>
    </w:p>
    <w:p w14:paraId="013EEEAF">
      <w:pPr>
        <w:spacing w:line="360" w:lineRule="auto"/>
        <w:jc w:val="left"/>
        <w:outlineLvl w:val="0"/>
        <w:rPr>
          <w:rFonts w:hint="eastAsia" w:ascii="宋体" w:hAnsi="宋体" w:cs="宋体"/>
          <w:snapToGrid w:val="0"/>
          <w:kern w:val="0"/>
          <w:sz w:val="32"/>
          <w:highlight w:val="none"/>
        </w:rPr>
      </w:pPr>
    </w:p>
    <w:p w14:paraId="66575D5A">
      <w:pPr>
        <w:spacing w:line="360" w:lineRule="auto"/>
        <w:jc w:val="left"/>
        <w:outlineLvl w:val="0"/>
        <w:rPr>
          <w:rFonts w:hint="eastAsia" w:ascii="宋体" w:hAnsi="宋体" w:cs="宋体"/>
          <w:snapToGrid w:val="0"/>
          <w:kern w:val="0"/>
          <w:sz w:val="32"/>
          <w:highlight w:val="none"/>
        </w:rPr>
      </w:pPr>
    </w:p>
    <w:p w14:paraId="40A5453A">
      <w:pPr>
        <w:spacing w:line="360" w:lineRule="auto"/>
        <w:jc w:val="left"/>
        <w:outlineLvl w:val="0"/>
        <w:rPr>
          <w:rFonts w:hint="eastAsia" w:ascii="宋体" w:hAnsi="宋体" w:cs="宋体"/>
          <w:snapToGrid w:val="0"/>
          <w:kern w:val="0"/>
          <w:sz w:val="32"/>
          <w:highlight w:val="none"/>
        </w:rPr>
      </w:pPr>
    </w:p>
    <w:p w14:paraId="1F5D86DB">
      <w:pPr>
        <w:spacing w:line="360" w:lineRule="auto"/>
        <w:jc w:val="center"/>
        <w:outlineLvl w:val="0"/>
        <w:rPr>
          <w:rFonts w:hint="eastAsia" w:ascii="黑体" w:hAnsi="黑体" w:eastAsia="黑体" w:cs="Times New Roman"/>
          <w:snapToGrid w:val="0"/>
          <w:kern w:val="0"/>
          <w:sz w:val="32"/>
          <w:highlight w:val="none"/>
        </w:rPr>
      </w:pPr>
      <w:bookmarkStart w:id="378" w:name="_Toc10156"/>
      <w:bookmarkStart w:id="379" w:name="_Toc93404030"/>
      <w:bookmarkStart w:id="380" w:name="_Toc13099"/>
      <w:r>
        <w:rPr>
          <w:rFonts w:hint="eastAsia" w:ascii="黑体" w:hAnsi="黑体" w:eastAsia="黑体" w:cs="Times New Roman"/>
          <w:snapToGrid w:val="0"/>
          <w:kern w:val="0"/>
          <w:sz w:val="32"/>
          <w:highlight w:val="none"/>
        </w:rPr>
        <w:t>第六章  投标文件格式</w:t>
      </w:r>
      <w:bookmarkEnd w:id="378"/>
      <w:bookmarkEnd w:id="379"/>
      <w:bookmarkEnd w:id="380"/>
    </w:p>
    <w:p w14:paraId="14E3EE9B">
      <w:pPr>
        <w:jc w:val="left"/>
        <w:rPr>
          <w:rFonts w:hint="eastAsia" w:ascii="宋体" w:hAnsi="宋体" w:cs="宋体"/>
          <w:snapToGrid w:val="0"/>
          <w:kern w:val="0"/>
          <w:sz w:val="28"/>
          <w:szCs w:val="28"/>
          <w:highlight w:val="none"/>
        </w:rPr>
      </w:pPr>
    </w:p>
    <w:p w14:paraId="1BEC1144">
      <w:pPr>
        <w:jc w:val="left"/>
        <w:rPr>
          <w:rFonts w:hint="eastAsia" w:ascii="宋体" w:hAnsi="宋体" w:cs="宋体"/>
          <w:snapToGrid w:val="0"/>
          <w:kern w:val="0"/>
          <w:sz w:val="28"/>
          <w:szCs w:val="28"/>
          <w:highlight w:val="none"/>
        </w:rPr>
      </w:pPr>
    </w:p>
    <w:p w14:paraId="103F236A">
      <w:pPr>
        <w:jc w:val="center"/>
        <w:rPr>
          <w:rFonts w:hint="eastAsia" w:ascii="宋体" w:hAnsi="宋体" w:cs="宋体"/>
          <w:b/>
          <w:bCs/>
          <w:snapToGrid w:val="0"/>
          <w:kern w:val="0"/>
          <w:sz w:val="48"/>
          <w:szCs w:val="48"/>
          <w:highlight w:val="none"/>
        </w:rPr>
      </w:pPr>
      <w:r>
        <w:rPr>
          <w:rFonts w:hint="eastAsia" w:ascii="宋体" w:hAnsi="宋体" w:cs="宋体"/>
          <w:b/>
          <w:bCs/>
          <w:snapToGrid w:val="0"/>
          <w:kern w:val="0"/>
          <w:sz w:val="48"/>
          <w:szCs w:val="48"/>
          <w:highlight w:val="none"/>
        </w:rPr>
        <w:t>__________（项目名称）</w:t>
      </w:r>
    </w:p>
    <w:p w14:paraId="66FBC089">
      <w:pPr>
        <w:jc w:val="center"/>
        <w:rPr>
          <w:rFonts w:hint="eastAsia" w:ascii="宋体" w:hAnsi="宋体" w:cs="宋体"/>
          <w:b/>
          <w:bCs/>
          <w:snapToGrid w:val="0"/>
          <w:kern w:val="0"/>
          <w:sz w:val="48"/>
          <w:szCs w:val="48"/>
          <w:highlight w:val="none"/>
        </w:rPr>
      </w:pPr>
      <w:r>
        <w:rPr>
          <w:rFonts w:hint="eastAsia" w:ascii="宋体" w:hAnsi="宋体" w:cs="宋体"/>
          <w:b/>
          <w:bCs/>
          <w:snapToGrid w:val="0"/>
          <w:kern w:val="0"/>
          <w:sz w:val="48"/>
          <w:szCs w:val="48"/>
          <w:highlight w:val="none"/>
        </w:rPr>
        <w:t>全过程工程咨询服务招标</w:t>
      </w:r>
    </w:p>
    <w:p w14:paraId="6316462C">
      <w:pPr>
        <w:spacing w:line="360" w:lineRule="auto"/>
        <w:jc w:val="left"/>
        <w:rPr>
          <w:rFonts w:hint="eastAsia" w:ascii="宋体" w:hAnsi="宋体" w:cs="宋体"/>
          <w:snapToGrid w:val="0"/>
          <w:kern w:val="0"/>
          <w:sz w:val="28"/>
          <w:szCs w:val="28"/>
          <w:highlight w:val="none"/>
        </w:rPr>
      </w:pPr>
    </w:p>
    <w:p w14:paraId="688EF03B">
      <w:pPr>
        <w:spacing w:line="360" w:lineRule="auto"/>
        <w:jc w:val="left"/>
        <w:rPr>
          <w:rFonts w:hint="eastAsia" w:ascii="宋体" w:hAnsi="宋体" w:cs="宋体"/>
          <w:snapToGrid w:val="0"/>
          <w:kern w:val="0"/>
          <w:sz w:val="28"/>
          <w:szCs w:val="28"/>
          <w:highlight w:val="none"/>
        </w:rPr>
      </w:pPr>
    </w:p>
    <w:p w14:paraId="4EA2F700">
      <w:pPr>
        <w:spacing w:line="360" w:lineRule="auto"/>
        <w:jc w:val="left"/>
        <w:rPr>
          <w:rFonts w:hint="eastAsia" w:ascii="宋体" w:hAnsi="宋体" w:cs="宋体"/>
          <w:snapToGrid w:val="0"/>
          <w:kern w:val="0"/>
          <w:sz w:val="28"/>
          <w:szCs w:val="28"/>
          <w:highlight w:val="none"/>
        </w:rPr>
      </w:pPr>
    </w:p>
    <w:p w14:paraId="5CEAA698">
      <w:pPr>
        <w:spacing w:line="360" w:lineRule="auto"/>
        <w:jc w:val="center"/>
        <w:rPr>
          <w:rFonts w:hint="eastAsia" w:ascii="宋体" w:hAnsi="宋体" w:cs="宋体"/>
          <w:b/>
          <w:bCs/>
          <w:snapToGrid w:val="0"/>
          <w:kern w:val="0"/>
          <w:sz w:val="72"/>
          <w:szCs w:val="72"/>
          <w:highlight w:val="none"/>
        </w:rPr>
      </w:pPr>
      <w:r>
        <w:rPr>
          <w:rFonts w:hint="eastAsia" w:ascii="宋体" w:hAnsi="宋体" w:cs="宋体"/>
          <w:b/>
          <w:bCs/>
          <w:snapToGrid w:val="0"/>
          <w:kern w:val="0"/>
          <w:sz w:val="72"/>
          <w:szCs w:val="72"/>
          <w:highlight w:val="none"/>
        </w:rPr>
        <w:t>投标文件</w:t>
      </w:r>
    </w:p>
    <w:p w14:paraId="31060F21">
      <w:pPr>
        <w:spacing w:line="360" w:lineRule="auto"/>
        <w:jc w:val="center"/>
        <w:rPr>
          <w:rFonts w:hint="default" w:ascii="宋体" w:hAnsi="宋体" w:eastAsia="宋体" w:cs="宋体"/>
          <w:snapToGrid w:val="0"/>
          <w:kern w:val="0"/>
          <w:sz w:val="44"/>
          <w:szCs w:val="44"/>
          <w:highlight w:val="none"/>
          <w:lang w:val="en-US" w:eastAsia="zh-CN"/>
        </w:rPr>
      </w:pPr>
      <w:r>
        <w:rPr>
          <w:rFonts w:hint="eastAsia" w:ascii="宋体" w:hAnsi="宋体" w:cs="宋体"/>
          <w:snapToGrid w:val="0"/>
          <w:kern w:val="0"/>
          <w:sz w:val="44"/>
          <w:szCs w:val="44"/>
          <w:highlight w:val="none"/>
          <w:lang w:val="en-US" w:eastAsia="zh-CN"/>
        </w:rPr>
        <w:t>（商务部分）</w:t>
      </w:r>
    </w:p>
    <w:p w14:paraId="507F2CC5">
      <w:pPr>
        <w:spacing w:line="360" w:lineRule="auto"/>
        <w:jc w:val="left"/>
        <w:rPr>
          <w:rFonts w:hint="eastAsia" w:ascii="宋体" w:hAnsi="宋体" w:cs="宋体"/>
          <w:snapToGrid w:val="0"/>
          <w:kern w:val="0"/>
          <w:sz w:val="44"/>
          <w:szCs w:val="44"/>
          <w:highlight w:val="none"/>
        </w:rPr>
      </w:pPr>
    </w:p>
    <w:p w14:paraId="39E55BDB">
      <w:pPr>
        <w:spacing w:line="360" w:lineRule="auto"/>
        <w:jc w:val="left"/>
        <w:rPr>
          <w:rFonts w:hint="eastAsia" w:ascii="宋体" w:hAnsi="宋体" w:cs="宋体"/>
          <w:snapToGrid w:val="0"/>
          <w:kern w:val="0"/>
          <w:sz w:val="44"/>
          <w:szCs w:val="44"/>
          <w:highlight w:val="none"/>
        </w:rPr>
      </w:pPr>
    </w:p>
    <w:p w14:paraId="2F01B5AE">
      <w:pPr>
        <w:spacing w:line="360" w:lineRule="auto"/>
        <w:jc w:val="left"/>
        <w:rPr>
          <w:rFonts w:hint="eastAsia" w:ascii="宋体" w:hAnsi="宋体" w:cs="宋体"/>
          <w:snapToGrid w:val="0"/>
          <w:kern w:val="0"/>
          <w:sz w:val="44"/>
          <w:szCs w:val="44"/>
          <w:highlight w:val="none"/>
        </w:rPr>
      </w:pPr>
    </w:p>
    <w:p w14:paraId="7432DCC5">
      <w:pPr>
        <w:spacing w:line="360" w:lineRule="auto"/>
        <w:jc w:val="left"/>
        <w:rPr>
          <w:rFonts w:hint="eastAsia" w:ascii="宋体" w:hAnsi="宋体" w:cs="宋体"/>
          <w:snapToGrid w:val="0"/>
          <w:kern w:val="0"/>
          <w:sz w:val="44"/>
          <w:szCs w:val="44"/>
          <w:highlight w:val="none"/>
        </w:rPr>
      </w:pPr>
    </w:p>
    <w:p w14:paraId="5E4C628F">
      <w:pPr>
        <w:spacing w:line="360" w:lineRule="auto"/>
        <w:jc w:val="center"/>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投标人</w:t>
      </w:r>
      <w:r>
        <w:rPr>
          <w:rFonts w:hint="eastAsia" w:ascii="宋体" w:hAnsi="宋体" w:cs="宋体"/>
          <w:snapToGrid w:val="0"/>
          <w:kern w:val="0"/>
          <w:sz w:val="28"/>
          <w:szCs w:val="28"/>
          <w:highlight w:val="none"/>
          <w:lang w:eastAsia="zh-CN"/>
        </w:rPr>
        <w:t>：</w:t>
      </w:r>
      <w:r>
        <w:rPr>
          <w:rFonts w:hint="eastAsia" w:ascii="宋体" w:hAnsi="宋体" w:cs="宋体"/>
          <w:snapToGrid w:val="0"/>
          <w:kern w:val="0"/>
          <w:sz w:val="28"/>
          <w:szCs w:val="28"/>
          <w:highlight w:val="none"/>
          <w:u w:val="single"/>
          <w:lang w:val="en-US" w:eastAsia="zh-CN"/>
        </w:rPr>
        <w:t xml:space="preserve">                    </w:t>
      </w:r>
      <w:r>
        <w:rPr>
          <w:rFonts w:hint="eastAsia" w:ascii="宋体" w:hAnsi="宋体" w:cs="宋体"/>
          <w:snapToGrid w:val="0"/>
          <w:kern w:val="0"/>
          <w:sz w:val="28"/>
          <w:szCs w:val="28"/>
          <w:highlight w:val="none"/>
        </w:rPr>
        <w:t>（</w:t>
      </w:r>
      <w:r>
        <w:rPr>
          <w:rFonts w:hint="eastAsia" w:ascii="宋体" w:hAnsi="宋体" w:cs="宋体"/>
          <w:snapToGrid w:val="0"/>
          <w:kern w:val="0"/>
          <w:sz w:val="28"/>
          <w:szCs w:val="28"/>
          <w:highlight w:val="none"/>
          <w:lang w:val="en-US" w:eastAsia="zh-CN"/>
        </w:rPr>
        <w:t>签章</w:t>
      </w:r>
      <w:r>
        <w:rPr>
          <w:rFonts w:hint="eastAsia" w:ascii="宋体" w:hAnsi="宋体" w:cs="宋体"/>
          <w:snapToGrid w:val="0"/>
          <w:kern w:val="0"/>
          <w:sz w:val="28"/>
          <w:szCs w:val="28"/>
          <w:highlight w:val="none"/>
        </w:rPr>
        <w:t>）</w:t>
      </w:r>
    </w:p>
    <w:p w14:paraId="36EB2B4E">
      <w:pPr>
        <w:spacing w:before="143" w:beforeLines="50"/>
        <w:ind w:firstLine="1960" w:firstLineChars="700"/>
        <w:jc w:val="both"/>
        <w:rPr>
          <w:rFonts w:hint="eastAsia" w:ascii="宋体" w:hAnsi="宋体" w:cs="宋体"/>
          <w:sz w:val="28"/>
          <w:szCs w:val="28"/>
          <w:highlight w:val="none"/>
        </w:rPr>
      </w:pPr>
      <w:r>
        <w:rPr>
          <w:rFonts w:hint="eastAsia" w:ascii="宋体" w:hAnsi="宋体" w:cs="宋体"/>
          <w:sz w:val="28"/>
          <w:szCs w:val="28"/>
          <w:highlight w:val="none"/>
        </w:rPr>
        <w:t>法定代表人或其</w:t>
      </w:r>
    </w:p>
    <w:p w14:paraId="336DDE7E">
      <w:pPr>
        <w:spacing w:before="143" w:beforeLines="50"/>
        <w:jc w:val="center"/>
        <w:rPr>
          <w:rFonts w:hint="eastAsia" w:ascii="宋体" w:hAnsi="宋体" w:cs="宋体"/>
          <w:sz w:val="28"/>
          <w:szCs w:val="28"/>
          <w:highlight w:val="none"/>
        </w:rPr>
      </w:pPr>
      <w:r>
        <w:rPr>
          <w:rFonts w:hint="eastAsia" w:ascii="宋体" w:hAnsi="宋体" w:cs="宋体"/>
          <w:sz w:val="28"/>
          <w:szCs w:val="28"/>
          <w:highlight w:val="none"/>
        </w:rPr>
        <w:t>委托代理人：</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w:t>
      </w:r>
      <w:r>
        <w:rPr>
          <w:rFonts w:hint="eastAsia" w:ascii="宋体" w:hAnsi="宋体" w:cs="宋体"/>
          <w:sz w:val="28"/>
          <w:szCs w:val="28"/>
          <w:highlight w:val="none"/>
          <w:lang w:val="en-US" w:eastAsia="zh-CN"/>
        </w:rPr>
        <w:t>签字或盖章</w:t>
      </w:r>
      <w:r>
        <w:rPr>
          <w:rFonts w:hint="eastAsia" w:ascii="宋体" w:hAnsi="宋体" w:cs="宋体"/>
          <w:sz w:val="28"/>
          <w:szCs w:val="28"/>
          <w:highlight w:val="none"/>
        </w:rPr>
        <w:t>）</w:t>
      </w:r>
    </w:p>
    <w:p w14:paraId="18FD59BF">
      <w:pPr>
        <w:spacing w:line="360" w:lineRule="auto"/>
        <w:jc w:val="center"/>
        <w:rPr>
          <w:rFonts w:hint="eastAsia" w:ascii="宋体" w:hAnsi="宋体" w:cs="宋体"/>
          <w:snapToGrid w:val="0"/>
          <w:kern w:val="0"/>
          <w:sz w:val="28"/>
          <w:szCs w:val="28"/>
          <w:highlight w:val="none"/>
        </w:rPr>
      </w:pPr>
    </w:p>
    <w:p w14:paraId="4A68C349">
      <w:pPr>
        <w:spacing w:line="360" w:lineRule="auto"/>
        <w:jc w:val="center"/>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_______年____月____日</w:t>
      </w:r>
    </w:p>
    <w:p w14:paraId="3018ABA0">
      <w:pPr>
        <w:jc w:val="left"/>
        <w:rPr>
          <w:rFonts w:hint="eastAsia" w:ascii="宋体" w:hAnsi="宋体" w:cs="宋体"/>
          <w:highlight w:val="none"/>
        </w:rPr>
      </w:pPr>
      <w:r>
        <w:rPr>
          <w:rFonts w:hint="eastAsia" w:ascii="宋体" w:hAnsi="宋体" w:cs="宋体"/>
          <w:highlight w:val="none"/>
        </w:rPr>
        <w:br w:type="page"/>
      </w:r>
    </w:p>
    <w:p w14:paraId="3D7CE660">
      <w:pPr>
        <w:spacing w:line="360" w:lineRule="auto"/>
        <w:jc w:val="center"/>
        <w:rPr>
          <w:rFonts w:hint="eastAsia" w:ascii="宋体" w:hAnsi="宋体" w:cs="宋体"/>
          <w:b/>
          <w:snapToGrid w:val="0"/>
          <w:kern w:val="0"/>
          <w:sz w:val="36"/>
          <w:szCs w:val="36"/>
          <w:highlight w:val="none"/>
        </w:rPr>
      </w:pPr>
      <w:r>
        <w:rPr>
          <w:rFonts w:hint="eastAsia" w:ascii="宋体" w:hAnsi="宋体" w:cs="宋体"/>
          <w:b/>
          <w:snapToGrid w:val="0"/>
          <w:kern w:val="0"/>
          <w:sz w:val="36"/>
          <w:szCs w:val="36"/>
          <w:highlight w:val="none"/>
        </w:rPr>
        <w:t>目录</w:t>
      </w:r>
    </w:p>
    <w:p w14:paraId="7D738188">
      <w:pPr>
        <w:spacing w:line="360" w:lineRule="auto"/>
        <w:ind w:firstLine="560" w:firstLineChars="200"/>
        <w:jc w:val="left"/>
        <w:rPr>
          <w:rFonts w:hint="eastAsia" w:ascii="宋体" w:hAnsi="宋体" w:cs="宋体"/>
          <w:snapToGrid w:val="0"/>
          <w:kern w:val="0"/>
          <w:sz w:val="28"/>
          <w:szCs w:val="28"/>
          <w:highlight w:val="none"/>
        </w:rPr>
      </w:pPr>
    </w:p>
    <w:p w14:paraId="17632E2E">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一、投标函及投标函附录</w:t>
      </w:r>
    </w:p>
    <w:p w14:paraId="52EF506F">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二、法定代表人身份证明</w:t>
      </w:r>
    </w:p>
    <w:p w14:paraId="41ED953B">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三、授权委托书</w:t>
      </w:r>
    </w:p>
    <w:p w14:paraId="5282C948">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四、联合体协议书</w:t>
      </w:r>
    </w:p>
    <w:p w14:paraId="7E70A89E">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五、投标保证金</w:t>
      </w:r>
    </w:p>
    <w:p w14:paraId="4301B0F5">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六、投标人基本情况表</w:t>
      </w:r>
    </w:p>
    <w:p w14:paraId="32EE6EB6">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七、全过程工程咨询服务机构人员表</w:t>
      </w:r>
    </w:p>
    <w:p w14:paraId="001A0F71">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八、业绩资料表</w:t>
      </w:r>
    </w:p>
    <w:p w14:paraId="5D62AEC0">
      <w:pPr>
        <w:spacing w:line="360" w:lineRule="auto"/>
        <w:ind w:firstLine="560" w:firstLineChars="200"/>
        <w:jc w:val="left"/>
        <w:rPr>
          <w:rFonts w:hint="eastAsia" w:ascii="宋体" w:hAnsi="宋体" w:cs="宋体"/>
          <w:sz w:val="28"/>
          <w:szCs w:val="28"/>
          <w:highlight w:val="none"/>
        </w:rPr>
      </w:pPr>
      <w:r>
        <w:rPr>
          <w:rFonts w:hint="eastAsia" w:ascii="宋体" w:hAnsi="宋体" w:cs="宋体"/>
          <w:snapToGrid w:val="0"/>
          <w:kern w:val="0"/>
          <w:sz w:val="28"/>
          <w:szCs w:val="28"/>
          <w:highlight w:val="none"/>
        </w:rPr>
        <w:t>九、拟分包计划表</w:t>
      </w:r>
      <w:r>
        <w:rPr>
          <w:rFonts w:hint="eastAsia" w:ascii="宋体" w:hAnsi="宋体" w:cs="宋体"/>
          <w:sz w:val="28"/>
          <w:szCs w:val="28"/>
          <w:highlight w:val="none"/>
        </w:rPr>
        <w:t>（如有）</w:t>
      </w:r>
    </w:p>
    <w:p w14:paraId="2DD6DE1F">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十、自评分表</w:t>
      </w:r>
    </w:p>
    <w:p w14:paraId="501370CB">
      <w:pPr>
        <w:spacing w:line="360" w:lineRule="auto"/>
        <w:jc w:val="left"/>
        <w:outlineLvl w:val="1"/>
        <w:rPr>
          <w:rFonts w:hint="eastAsia" w:ascii="宋体" w:hAnsi="宋体"/>
          <w:b/>
          <w:snapToGrid w:val="0"/>
          <w:kern w:val="0"/>
          <w:sz w:val="32"/>
          <w:highlight w:val="none"/>
        </w:rPr>
      </w:pPr>
    </w:p>
    <w:p w14:paraId="14DB01E0">
      <w:pPr>
        <w:spacing w:line="360" w:lineRule="auto"/>
        <w:jc w:val="left"/>
        <w:outlineLvl w:val="1"/>
        <w:rPr>
          <w:rFonts w:hint="eastAsia" w:ascii="宋体" w:hAnsi="宋体"/>
          <w:b/>
          <w:snapToGrid w:val="0"/>
          <w:kern w:val="0"/>
          <w:sz w:val="32"/>
          <w:highlight w:val="none"/>
        </w:rPr>
      </w:pPr>
    </w:p>
    <w:p w14:paraId="30E3B7F5">
      <w:pPr>
        <w:spacing w:line="360" w:lineRule="auto"/>
        <w:jc w:val="left"/>
        <w:outlineLvl w:val="1"/>
        <w:rPr>
          <w:rFonts w:hint="eastAsia" w:ascii="宋体" w:hAnsi="宋体"/>
          <w:b/>
          <w:snapToGrid w:val="0"/>
          <w:kern w:val="0"/>
          <w:sz w:val="32"/>
          <w:highlight w:val="none"/>
        </w:rPr>
      </w:pPr>
    </w:p>
    <w:p w14:paraId="2B14F3B8">
      <w:pPr>
        <w:spacing w:line="360" w:lineRule="auto"/>
        <w:jc w:val="left"/>
        <w:outlineLvl w:val="1"/>
        <w:rPr>
          <w:rFonts w:hint="eastAsia" w:ascii="宋体" w:hAnsi="宋体"/>
          <w:b/>
          <w:snapToGrid w:val="0"/>
          <w:kern w:val="0"/>
          <w:sz w:val="32"/>
          <w:highlight w:val="none"/>
        </w:rPr>
      </w:pPr>
    </w:p>
    <w:p w14:paraId="5DD698C8">
      <w:pPr>
        <w:spacing w:line="360" w:lineRule="auto"/>
        <w:jc w:val="left"/>
        <w:outlineLvl w:val="1"/>
        <w:rPr>
          <w:rFonts w:hint="eastAsia" w:ascii="宋体" w:hAnsi="宋体"/>
          <w:b/>
          <w:snapToGrid w:val="0"/>
          <w:kern w:val="0"/>
          <w:sz w:val="32"/>
          <w:highlight w:val="none"/>
        </w:rPr>
      </w:pPr>
    </w:p>
    <w:p w14:paraId="0CB020AD">
      <w:pPr>
        <w:spacing w:line="360" w:lineRule="auto"/>
        <w:jc w:val="left"/>
        <w:outlineLvl w:val="1"/>
        <w:rPr>
          <w:rFonts w:hint="eastAsia" w:ascii="宋体" w:hAnsi="宋体"/>
          <w:b/>
          <w:snapToGrid w:val="0"/>
          <w:kern w:val="0"/>
          <w:sz w:val="32"/>
          <w:highlight w:val="none"/>
        </w:rPr>
      </w:pPr>
    </w:p>
    <w:p w14:paraId="5BE25587">
      <w:pPr>
        <w:spacing w:line="360" w:lineRule="auto"/>
        <w:jc w:val="left"/>
        <w:outlineLvl w:val="1"/>
        <w:rPr>
          <w:rFonts w:hint="eastAsia" w:ascii="宋体" w:hAnsi="宋体"/>
          <w:b/>
          <w:snapToGrid w:val="0"/>
          <w:kern w:val="0"/>
          <w:sz w:val="32"/>
          <w:highlight w:val="none"/>
        </w:rPr>
      </w:pPr>
    </w:p>
    <w:p w14:paraId="14F7FD3A">
      <w:pPr>
        <w:spacing w:line="360" w:lineRule="auto"/>
        <w:jc w:val="left"/>
        <w:outlineLvl w:val="1"/>
        <w:rPr>
          <w:rFonts w:hint="eastAsia" w:ascii="宋体" w:hAnsi="宋体"/>
          <w:b/>
          <w:snapToGrid w:val="0"/>
          <w:kern w:val="0"/>
          <w:sz w:val="32"/>
          <w:highlight w:val="none"/>
        </w:rPr>
      </w:pPr>
    </w:p>
    <w:p w14:paraId="08BA641A">
      <w:pPr>
        <w:spacing w:line="360" w:lineRule="auto"/>
        <w:jc w:val="left"/>
        <w:outlineLvl w:val="1"/>
        <w:rPr>
          <w:rFonts w:hint="eastAsia" w:ascii="宋体" w:hAnsi="宋体"/>
          <w:b/>
          <w:snapToGrid w:val="0"/>
          <w:kern w:val="0"/>
          <w:sz w:val="32"/>
          <w:highlight w:val="none"/>
        </w:rPr>
      </w:pPr>
    </w:p>
    <w:p w14:paraId="719EFE9A">
      <w:pPr>
        <w:spacing w:line="360" w:lineRule="auto"/>
        <w:jc w:val="left"/>
        <w:outlineLvl w:val="1"/>
        <w:rPr>
          <w:rFonts w:hint="eastAsia" w:ascii="宋体" w:hAnsi="宋体"/>
          <w:b/>
          <w:snapToGrid w:val="0"/>
          <w:kern w:val="0"/>
          <w:sz w:val="32"/>
          <w:highlight w:val="none"/>
        </w:rPr>
      </w:pPr>
    </w:p>
    <w:p w14:paraId="09DA00A4">
      <w:pPr>
        <w:rPr>
          <w:rFonts w:hint="eastAsia" w:ascii="宋体" w:hAnsi="宋体" w:cs="宋体"/>
          <w:b/>
          <w:snapToGrid w:val="0"/>
          <w:kern w:val="0"/>
          <w:sz w:val="32"/>
          <w:highlight w:val="none"/>
        </w:rPr>
      </w:pPr>
      <w:bookmarkStart w:id="381" w:name="_Toc93404031"/>
      <w:bookmarkStart w:id="382" w:name="_Toc18781"/>
      <w:bookmarkStart w:id="383" w:name="_Toc24142"/>
      <w:bookmarkStart w:id="384" w:name="_Hlk180669026"/>
      <w:r>
        <w:rPr>
          <w:rFonts w:hint="eastAsia" w:ascii="宋体" w:hAnsi="宋体" w:cs="宋体"/>
          <w:b/>
          <w:snapToGrid w:val="0"/>
          <w:kern w:val="0"/>
          <w:sz w:val="32"/>
          <w:highlight w:val="none"/>
        </w:rPr>
        <w:br w:type="page"/>
      </w:r>
    </w:p>
    <w:p w14:paraId="6B0753B4">
      <w:pPr>
        <w:spacing w:line="360" w:lineRule="auto"/>
        <w:jc w:val="center"/>
        <w:outlineLvl w:val="2"/>
        <w:rPr>
          <w:rFonts w:hint="eastAsia" w:ascii="宋体" w:hAnsi="宋体" w:cs="宋体"/>
          <w:b/>
          <w:snapToGrid w:val="0"/>
          <w:kern w:val="0"/>
          <w:sz w:val="32"/>
          <w:highlight w:val="none"/>
        </w:rPr>
      </w:pPr>
      <w:r>
        <w:rPr>
          <w:rFonts w:hint="eastAsia" w:ascii="宋体" w:hAnsi="宋体" w:cs="宋体"/>
          <w:b/>
          <w:snapToGrid w:val="0"/>
          <w:kern w:val="0"/>
          <w:sz w:val="32"/>
          <w:highlight w:val="none"/>
        </w:rPr>
        <w:t>一、投标函及投标函附录</w:t>
      </w:r>
      <w:bookmarkEnd w:id="381"/>
      <w:bookmarkEnd w:id="382"/>
      <w:bookmarkEnd w:id="383"/>
    </w:p>
    <w:p w14:paraId="13230EB0">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（一）投标函</w:t>
      </w:r>
    </w:p>
    <w:p w14:paraId="42F74357">
      <w:pPr>
        <w:spacing w:line="360" w:lineRule="auto"/>
        <w:jc w:val="left"/>
        <w:rPr>
          <w:rFonts w:hint="eastAsia" w:ascii="宋体" w:hAnsi="宋体" w:cs="宋体"/>
          <w:snapToGrid w:val="0"/>
          <w:kern w:val="0"/>
          <w:sz w:val="20"/>
          <w:highlight w:val="none"/>
        </w:rPr>
      </w:pPr>
    </w:p>
    <w:p w14:paraId="22DF2C6F">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______________________（招标人名称）：</w:t>
      </w:r>
    </w:p>
    <w:p w14:paraId="66B87145">
      <w:pPr>
        <w:spacing w:line="360" w:lineRule="auto"/>
        <w:jc w:val="left"/>
        <w:rPr>
          <w:rFonts w:hint="eastAsia" w:ascii="宋体" w:hAnsi="宋体" w:cs="宋体"/>
          <w:snapToGrid w:val="0"/>
          <w:kern w:val="0"/>
          <w:szCs w:val="21"/>
          <w:highlight w:val="none"/>
        </w:rPr>
      </w:pPr>
    </w:p>
    <w:p w14:paraId="4CDE40D4">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1．在充分研究（项目名称）全过程工程咨询服务招标文件的全部内容并考察项目现场后，我方兹以全过程工程咨询服务总酬金：人民币（大写）：</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整(RMB￥：</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元)的投标价格，按招标文件规定的全过程工程咨询服务期限和合同约定，实施和完成各项全过程工程咨询任务。</w:t>
      </w:r>
    </w:p>
    <w:p w14:paraId="0569D9EA">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2．我方承诺在投标有效期内不修改、撤销投标文件。</w:t>
      </w:r>
    </w:p>
    <w:p w14:paraId="48D991C4">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w:t>
      </w:r>
      <w:r>
        <w:rPr>
          <w:rFonts w:hint="eastAsia" w:ascii="宋体" w:hAnsi="宋体" w:cs="宋体"/>
          <w:kern w:val="0"/>
          <w:szCs w:val="21"/>
          <w:highlight w:val="none"/>
        </w:rPr>
        <w:t>我单位派驻现场的全过程工程咨询服务项目总负责人是</w:t>
      </w:r>
      <w:r>
        <w:rPr>
          <w:rFonts w:hint="eastAsia" w:ascii="宋体" w:hAnsi="宋体" w:cs="宋体"/>
          <w:snapToGrid w:val="0"/>
          <w:kern w:val="0"/>
          <w:szCs w:val="21"/>
          <w:highlight w:val="none"/>
        </w:rPr>
        <w:t>____</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w:t>
      </w:r>
    </w:p>
    <w:p w14:paraId="5DB9E90A">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4．如我方中标：</w:t>
      </w:r>
    </w:p>
    <w:p w14:paraId="402E007F">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(1)我方承诺在收到中标通知书后，在中标通知书规定的期限内与你方签订合同。</w:t>
      </w:r>
    </w:p>
    <w:p w14:paraId="3FD5D623">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(2)随同本投标函递交的投标函附录属于合同文件的组成部分。</w:t>
      </w:r>
    </w:p>
    <w:p w14:paraId="0984D9EE">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(3)我方承诺按照招标文件规定向你方递交履约担保。</w:t>
      </w:r>
    </w:p>
    <w:p w14:paraId="48A93170">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w:t>
      </w:r>
      <w:r>
        <w:rPr>
          <w:rFonts w:hint="eastAsia" w:ascii="宋体" w:hAnsi="宋体" w:cs="宋体"/>
          <w:kern w:val="0"/>
          <w:szCs w:val="21"/>
          <w:highlight w:val="none"/>
        </w:rPr>
        <w:t xml:space="preserve"> 我方保证按照合同约定履行相关职责和义务</w:t>
      </w:r>
      <w:r>
        <w:rPr>
          <w:rFonts w:hint="eastAsia" w:ascii="宋体" w:hAnsi="宋体" w:cs="宋体"/>
          <w:snapToGrid w:val="0"/>
          <w:kern w:val="0"/>
          <w:szCs w:val="21"/>
          <w:highlight w:val="none"/>
        </w:rPr>
        <w:t>。</w:t>
      </w:r>
    </w:p>
    <w:p w14:paraId="1DDA7573">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5．我方在此声明，所递交的投标文件及有关资料内容完整、真实和准确。</w:t>
      </w:r>
    </w:p>
    <w:p w14:paraId="60D8757F">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6．我方同意本投标函在招标文件规定的提交投标文件截止时间后，在招标文件规定的投标有效期期满前对我方具有约束力，且随时准备接受你方发出的中标通知书。</w:t>
      </w:r>
    </w:p>
    <w:p w14:paraId="6B20763B">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kern w:val="0"/>
          <w:szCs w:val="21"/>
          <w:highlight w:val="none"/>
        </w:rPr>
        <w:t>7.在签署合同协议书之前，你方的中标通知书连同本投标函，对双方具有约束力。</w:t>
      </w:r>
    </w:p>
    <w:p w14:paraId="5764A141">
      <w:pPr>
        <w:spacing w:line="360" w:lineRule="auto"/>
        <w:ind w:firstLine="420" w:firstLineChars="200"/>
        <w:jc w:val="left"/>
        <w:rPr>
          <w:rFonts w:hint="eastAsia" w:ascii="宋体" w:hAnsi="宋体" w:cs="宋体"/>
          <w:snapToGrid w:val="0"/>
          <w:kern w:val="0"/>
          <w:szCs w:val="21"/>
          <w:highlight w:val="none"/>
        </w:rPr>
      </w:pPr>
    </w:p>
    <w:p w14:paraId="4A8B2323">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 标 人：____________（签字、盖章）</w:t>
      </w:r>
    </w:p>
    <w:p w14:paraId="56CFDE77">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法定代表人：____________________（签字、盖章）</w:t>
      </w:r>
    </w:p>
    <w:p w14:paraId="7F965285">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________年_______月_______日</w:t>
      </w:r>
    </w:p>
    <w:p w14:paraId="44E8A99C">
      <w:pPr>
        <w:jc w:val="left"/>
        <w:rPr>
          <w:rFonts w:hint="eastAsia" w:ascii="宋体" w:hAnsi="宋体" w:cs="宋体"/>
          <w:b/>
          <w:snapToGrid w:val="0"/>
          <w:sz w:val="28"/>
          <w:highlight w:val="none"/>
        </w:rPr>
      </w:pPr>
    </w:p>
    <w:p w14:paraId="2CBF91BA">
      <w:pPr>
        <w:jc w:val="left"/>
        <w:rPr>
          <w:rFonts w:hint="eastAsia" w:ascii="宋体" w:hAnsi="宋体" w:cs="宋体"/>
          <w:b/>
          <w:snapToGrid w:val="0"/>
          <w:sz w:val="28"/>
          <w:highlight w:val="none"/>
        </w:rPr>
      </w:pPr>
    </w:p>
    <w:p w14:paraId="4C464E0F">
      <w:pPr>
        <w:jc w:val="left"/>
        <w:rPr>
          <w:rFonts w:hint="eastAsia" w:ascii="宋体" w:hAnsi="宋体" w:cs="宋体"/>
          <w:b/>
          <w:snapToGrid w:val="0"/>
          <w:sz w:val="28"/>
          <w:highlight w:val="none"/>
        </w:rPr>
      </w:pPr>
    </w:p>
    <w:p w14:paraId="402D65D9">
      <w:pPr>
        <w:jc w:val="left"/>
        <w:rPr>
          <w:rFonts w:hint="eastAsia" w:ascii="宋体" w:hAnsi="宋体" w:cs="宋体"/>
          <w:b/>
          <w:snapToGrid w:val="0"/>
          <w:sz w:val="28"/>
          <w:highlight w:val="none"/>
        </w:rPr>
      </w:pPr>
    </w:p>
    <w:p w14:paraId="2564EA6F">
      <w:pPr>
        <w:rPr>
          <w:rFonts w:hint="eastAsia" w:ascii="宋体" w:hAnsi="宋体" w:cs="宋体"/>
          <w:b/>
          <w:snapToGrid w:val="0"/>
          <w:sz w:val="28"/>
          <w:highlight w:val="none"/>
        </w:rPr>
      </w:pPr>
      <w:r>
        <w:rPr>
          <w:rFonts w:hint="eastAsia" w:ascii="宋体" w:hAnsi="宋体" w:cs="宋体"/>
          <w:b/>
          <w:snapToGrid w:val="0"/>
          <w:sz w:val="28"/>
          <w:highlight w:val="none"/>
        </w:rPr>
        <w:br w:type="page"/>
      </w:r>
    </w:p>
    <w:p w14:paraId="28A90BDA">
      <w:pPr>
        <w:jc w:val="center"/>
        <w:rPr>
          <w:rFonts w:hint="eastAsia" w:ascii="宋体" w:hAnsi="宋体" w:cs="宋体"/>
          <w:b/>
          <w:snapToGrid w:val="0"/>
          <w:sz w:val="28"/>
          <w:highlight w:val="none"/>
        </w:rPr>
      </w:pPr>
      <w:r>
        <w:rPr>
          <w:rFonts w:hint="eastAsia" w:ascii="宋体" w:hAnsi="宋体" w:cs="宋体"/>
          <w:b/>
          <w:snapToGrid w:val="0"/>
          <w:sz w:val="28"/>
          <w:highlight w:val="none"/>
        </w:rPr>
        <w:t>（二）投标函附录</w:t>
      </w:r>
    </w:p>
    <w:tbl>
      <w:tblPr>
        <w:tblStyle w:val="34"/>
        <w:tblpPr w:topFromText="180" w:bottomFromText="180" w:vertAnchor="text" w:horzAnchor="margin" w:tblpY="574"/>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21"/>
        <w:gridCol w:w="5160"/>
        <w:gridCol w:w="1674"/>
      </w:tblGrid>
      <w:tr w14:paraId="6C77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783871C0">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序号</w:t>
            </w:r>
          </w:p>
        </w:tc>
        <w:tc>
          <w:tcPr>
            <w:tcW w:w="1721" w:type="dxa"/>
          </w:tcPr>
          <w:p w14:paraId="2870BE80">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条款名称</w:t>
            </w:r>
          </w:p>
        </w:tc>
        <w:tc>
          <w:tcPr>
            <w:tcW w:w="5160" w:type="dxa"/>
          </w:tcPr>
          <w:p w14:paraId="0848EFC6">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约定内容</w:t>
            </w:r>
          </w:p>
        </w:tc>
        <w:tc>
          <w:tcPr>
            <w:tcW w:w="1674" w:type="dxa"/>
          </w:tcPr>
          <w:p w14:paraId="7123260A">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备注</w:t>
            </w:r>
          </w:p>
        </w:tc>
      </w:tr>
      <w:tr w14:paraId="16CC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36E3A8A5">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1721" w:type="dxa"/>
            <w:vAlign w:val="center"/>
          </w:tcPr>
          <w:p w14:paraId="56C9A61F">
            <w:pPr>
              <w:spacing w:line="36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项目总负责人</w:t>
            </w:r>
          </w:p>
        </w:tc>
        <w:tc>
          <w:tcPr>
            <w:tcW w:w="5160" w:type="dxa"/>
          </w:tcPr>
          <w:p w14:paraId="10F6C77C">
            <w:pPr>
              <w:spacing w:line="360" w:lineRule="auto"/>
              <w:jc w:val="left"/>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姓名：_________</w:t>
            </w:r>
          </w:p>
        </w:tc>
        <w:tc>
          <w:tcPr>
            <w:tcW w:w="1674" w:type="dxa"/>
          </w:tcPr>
          <w:p w14:paraId="664F99D1">
            <w:pPr>
              <w:spacing w:line="360" w:lineRule="auto"/>
              <w:jc w:val="left"/>
              <w:rPr>
                <w:rFonts w:hint="eastAsia" w:ascii="宋体" w:hAnsi="宋体" w:cs="宋体"/>
                <w:snapToGrid w:val="0"/>
                <w:kern w:val="0"/>
                <w:szCs w:val="21"/>
                <w:highlight w:val="none"/>
              </w:rPr>
            </w:pPr>
          </w:p>
        </w:tc>
      </w:tr>
      <w:tr w14:paraId="7E92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484E0DE6">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1721" w:type="dxa"/>
            <w:vAlign w:val="center"/>
          </w:tcPr>
          <w:p w14:paraId="75781E3F">
            <w:pPr>
              <w:spacing w:line="360" w:lineRule="auto"/>
              <w:jc w:val="both"/>
              <w:rPr>
                <w:rFonts w:hint="eastAsia" w:ascii="宋体" w:hAnsi="宋体" w:cs="宋体"/>
                <w:snapToGrid w:val="0"/>
                <w:kern w:val="0"/>
                <w:szCs w:val="21"/>
                <w:highlight w:val="none"/>
              </w:rPr>
            </w:pPr>
            <w:r>
              <w:rPr>
                <w:rFonts w:hint="eastAsia" w:ascii="宋体" w:hAnsi="宋体" w:cs="宋体"/>
                <w:snapToGrid w:val="0"/>
                <w:kern w:val="0"/>
                <w:highlight w:val="none"/>
              </w:rPr>
              <w:t>全过程工程咨询服务期</w:t>
            </w:r>
          </w:p>
        </w:tc>
        <w:tc>
          <w:tcPr>
            <w:tcW w:w="5160" w:type="dxa"/>
          </w:tcPr>
          <w:p w14:paraId="47AE4800">
            <w:pPr>
              <w:spacing w:line="360" w:lineRule="auto"/>
              <w:jc w:val="left"/>
              <w:rPr>
                <w:rFonts w:hint="eastAsia" w:ascii="宋体" w:hAnsi="宋体"/>
                <w:snapToGrid w:val="0"/>
                <w:kern w:val="0"/>
                <w:highlight w:val="none"/>
              </w:rPr>
            </w:pPr>
            <w:r>
              <w:rPr>
                <w:rFonts w:hint="eastAsia" w:ascii="宋体" w:hAnsi="宋体"/>
                <w:snapToGrid w:val="0"/>
                <w:kern w:val="0"/>
                <w:highlight w:val="none"/>
              </w:rPr>
              <w:t>合同签订之日开始实施，至工程审计报告提交之日终结（最终按本项目实际实施时间为准。）</w:t>
            </w:r>
          </w:p>
          <w:p w14:paraId="26D0D0F0">
            <w:pPr>
              <w:spacing w:line="360" w:lineRule="auto"/>
              <w:jc w:val="left"/>
              <w:rPr>
                <w:rFonts w:hint="eastAsia" w:ascii="宋体" w:hAnsi="宋体"/>
                <w:snapToGrid w:val="0"/>
                <w:kern w:val="0"/>
                <w:highlight w:val="none"/>
              </w:rPr>
            </w:pPr>
            <w:r>
              <w:rPr>
                <w:rFonts w:hint="eastAsia" w:ascii="宋体" w:hAnsi="宋体"/>
                <w:snapToGrid w:val="0"/>
                <w:kern w:val="0"/>
                <w:highlight w:val="none"/>
              </w:rPr>
              <w:t>（1）工程造价咨询：合同签订之日起至工程造价结算审计结束止；</w:t>
            </w:r>
          </w:p>
          <w:p w14:paraId="2549EDDD">
            <w:pPr>
              <w:spacing w:line="360" w:lineRule="auto"/>
              <w:jc w:val="left"/>
              <w:rPr>
                <w:rFonts w:hint="eastAsia" w:ascii="宋体" w:hAnsi="宋体"/>
                <w:snapToGrid w:val="0"/>
                <w:kern w:val="0"/>
                <w:highlight w:val="none"/>
              </w:rPr>
            </w:pPr>
            <w:r>
              <w:rPr>
                <w:rFonts w:hint="eastAsia" w:ascii="宋体" w:hAnsi="宋体"/>
                <w:snapToGrid w:val="0"/>
                <w:kern w:val="0"/>
                <w:highlight w:val="none"/>
              </w:rPr>
              <w:t>（2）监理期限：合同签订之日起至项目竣工验收止。</w:t>
            </w:r>
          </w:p>
          <w:p w14:paraId="3FA39DB1">
            <w:pPr>
              <w:spacing w:line="360" w:lineRule="auto"/>
              <w:jc w:val="left"/>
              <w:rPr>
                <w:rFonts w:hint="eastAsia" w:ascii="宋体" w:hAnsi="宋体"/>
                <w:snapToGrid w:val="0"/>
                <w:kern w:val="0"/>
                <w:highlight w:val="none"/>
              </w:rPr>
            </w:pPr>
            <w:r>
              <w:rPr>
                <w:rFonts w:hint="eastAsia" w:ascii="宋体" w:hAnsi="宋体"/>
                <w:snapToGrid w:val="0"/>
                <w:kern w:val="0"/>
                <w:highlight w:val="none"/>
              </w:rPr>
              <w:t>（3）项目管理期限：合同签订之日起至项目竣工验收止。同时必须满足项目实际进展情况以及相关的法律法规规定。</w:t>
            </w:r>
          </w:p>
        </w:tc>
        <w:tc>
          <w:tcPr>
            <w:tcW w:w="1674" w:type="dxa"/>
          </w:tcPr>
          <w:p w14:paraId="6FED52EA">
            <w:pPr>
              <w:spacing w:line="360" w:lineRule="auto"/>
              <w:jc w:val="left"/>
              <w:rPr>
                <w:rFonts w:hint="eastAsia" w:ascii="宋体" w:hAnsi="宋体" w:cs="宋体"/>
                <w:snapToGrid w:val="0"/>
                <w:kern w:val="0"/>
                <w:szCs w:val="21"/>
                <w:highlight w:val="none"/>
              </w:rPr>
            </w:pPr>
          </w:p>
        </w:tc>
      </w:tr>
      <w:tr w14:paraId="2951E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631E764B">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w:t>
            </w:r>
          </w:p>
        </w:tc>
        <w:tc>
          <w:tcPr>
            <w:tcW w:w="1721" w:type="dxa"/>
          </w:tcPr>
          <w:p w14:paraId="22AD0678">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5160" w:type="dxa"/>
          </w:tcPr>
          <w:p w14:paraId="62DE00A9">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highlight w:val="none"/>
                <w:u w:val="single"/>
              </w:rPr>
              <w:t>90</w:t>
            </w:r>
            <w:r>
              <w:rPr>
                <w:rFonts w:hint="eastAsia" w:ascii="宋体" w:hAnsi="宋体" w:cs="宋体"/>
                <w:snapToGrid w:val="0"/>
                <w:kern w:val="0"/>
                <w:highlight w:val="none"/>
              </w:rPr>
              <w:t>日历天</w:t>
            </w:r>
          </w:p>
        </w:tc>
        <w:tc>
          <w:tcPr>
            <w:tcW w:w="1674" w:type="dxa"/>
          </w:tcPr>
          <w:p w14:paraId="79CC2FC7">
            <w:pPr>
              <w:spacing w:line="360" w:lineRule="auto"/>
              <w:jc w:val="left"/>
              <w:rPr>
                <w:rFonts w:hint="eastAsia" w:ascii="宋体" w:hAnsi="宋体" w:cs="宋体"/>
                <w:snapToGrid w:val="0"/>
                <w:kern w:val="0"/>
                <w:szCs w:val="21"/>
                <w:highlight w:val="none"/>
              </w:rPr>
            </w:pPr>
          </w:p>
        </w:tc>
      </w:tr>
    </w:tbl>
    <w:p w14:paraId="45A76D44">
      <w:pPr>
        <w:jc w:val="left"/>
        <w:rPr>
          <w:rFonts w:hint="eastAsia" w:ascii="宋体" w:hAnsi="宋体" w:cs="宋体"/>
          <w:szCs w:val="21"/>
          <w:highlight w:val="none"/>
        </w:rPr>
      </w:pPr>
    </w:p>
    <w:p w14:paraId="4317A4AB">
      <w:pPr>
        <w:jc w:val="left"/>
        <w:rPr>
          <w:rFonts w:hint="eastAsia" w:ascii="宋体" w:hAnsi="宋体" w:cs="宋体"/>
          <w:szCs w:val="21"/>
          <w:highlight w:val="none"/>
        </w:rPr>
      </w:pPr>
    </w:p>
    <w:p w14:paraId="7D14FB3A">
      <w:pPr>
        <w:jc w:val="left"/>
        <w:rPr>
          <w:rFonts w:hint="eastAsia" w:ascii="宋体" w:hAnsi="宋体" w:cs="宋体"/>
          <w:szCs w:val="21"/>
          <w:highlight w:val="none"/>
        </w:rPr>
      </w:pPr>
    </w:p>
    <w:p w14:paraId="28F6C85F">
      <w:pPr>
        <w:jc w:val="left"/>
        <w:rPr>
          <w:rFonts w:hint="eastAsia" w:ascii="宋体" w:hAnsi="宋体" w:cs="宋体"/>
          <w:b/>
          <w:szCs w:val="21"/>
          <w:highlight w:val="none"/>
        </w:rPr>
      </w:pPr>
      <w:r>
        <w:rPr>
          <w:rFonts w:hint="eastAsia" w:ascii="宋体" w:hAnsi="宋体" w:cs="宋体"/>
          <w:szCs w:val="21"/>
          <w:highlight w:val="none"/>
        </w:rPr>
        <w:t>备注：投标人在响应招标文件中规定的实质性要求和条件的基础上，可做出其他有利于招标人的承诺。此类承诺可在本表中予以补充填写。</w:t>
      </w:r>
    </w:p>
    <w:p w14:paraId="1E71B85C">
      <w:pPr>
        <w:spacing w:line="480" w:lineRule="exact"/>
        <w:ind w:left="422"/>
        <w:jc w:val="left"/>
        <w:rPr>
          <w:rFonts w:hint="eastAsia" w:ascii="宋体" w:hAnsi="宋体" w:cs="宋体"/>
          <w:szCs w:val="21"/>
          <w:highlight w:val="none"/>
        </w:rPr>
      </w:pPr>
      <w:r>
        <w:rPr>
          <w:rFonts w:hint="eastAsia" w:ascii="宋体" w:hAnsi="宋体" w:cs="宋体"/>
          <w:szCs w:val="21"/>
          <w:highlight w:val="none"/>
        </w:rPr>
        <w:t>投标人（盖章）：</w:t>
      </w:r>
    </w:p>
    <w:p w14:paraId="0BBA5EB7">
      <w:pPr>
        <w:spacing w:line="480" w:lineRule="exact"/>
        <w:ind w:left="422"/>
        <w:jc w:val="left"/>
        <w:rPr>
          <w:rFonts w:hint="eastAsia" w:ascii="宋体" w:hAnsi="宋体" w:cs="宋体"/>
          <w:szCs w:val="21"/>
          <w:highlight w:val="none"/>
        </w:rPr>
      </w:pPr>
      <w:r>
        <w:rPr>
          <w:rFonts w:hint="eastAsia" w:ascii="宋体" w:hAnsi="宋体" w:cs="宋体"/>
          <w:szCs w:val="21"/>
          <w:highlight w:val="none"/>
        </w:rPr>
        <w:t>法人代表或委托代理人（签字）：</w:t>
      </w:r>
    </w:p>
    <w:p w14:paraId="07D05C4A">
      <w:pPr>
        <w:spacing w:line="480" w:lineRule="exact"/>
        <w:ind w:left="422"/>
        <w:jc w:val="left"/>
        <w:rPr>
          <w:rFonts w:hint="eastAsia" w:ascii="宋体" w:hAnsi="宋体" w:cs="宋体"/>
          <w:szCs w:val="21"/>
          <w:highlight w:val="none"/>
        </w:rPr>
      </w:pPr>
      <w:r>
        <w:rPr>
          <w:rFonts w:hint="eastAsia" w:ascii="宋体" w:hAnsi="宋体" w:cs="宋体"/>
          <w:szCs w:val="21"/>
          <w:highlight w:val="none"/>
        </w:rPr>
        <w:t>日期：    年      月      日</w:t>
      </w:r>
    </w:p>
    <w:bookmarkEnd w:id="384"/>
    <w:p w14:paraId="5F713323">
      <w:pPr>
        <w:jc w:val="left"/>
        <w:rPr>
          <w:rFonts w:hint="eastAsia" w:ascii="宋体" w:hAnsi="宋体" w:cs="宋体"/>
          <w:b/>
          <w:snapToGrid w:val="0"/>
          <w:sz w:val="28"/>
          <w:highlight w:val="none"/>
        </w:rPr>
      </w:pPr>
    </w:p>
    <w:p w14:paraId="14C39EA8">
      <w:pPr>
        <w:jc w:val="left"/>
        <w:rPr>
          <w:rFonts w:ascii="宋体"/>
          <w:b/>
          <w:snapToGrid w:val="0"/>
          <w:sz w:val="28"/>
          <w:highlight w:val="none"/>
        </w:rPr>
      </w:pPr>
      <w:r>
        <w:rPr>
          <w:rFonts w:hint="eastAsia" w:ascii="宋体"/>
          <w:b/>
          <w:snapToGrid w:val="0"/>
          <w:sz w:val="28"/>
          <w:highlight w:val="none"/>
        </w:rPr>
        <w:br w:type="page"/>
      </w:r>
    </w:p>
    <w:p w14:paraId="2FAA5DD0">
      <w:pPr>
        <w:jc w:val="center"/>
        <w:rPr>
          <w:rFonts w:ascii="宋体"/>
          <w:b/>
          <w:snapToGrid w:val="0"/>
          <w:sz w:val="28"/>
          <w:highlight w:val="none"/>
        </w:rPr>
      </w:pPr>
      <w:bookmarkStart w:id="385" w:name="_Hlk180669177"/>
      <w:r>
        <w:rPr>
          <w:rFonts w:hint="eastAsia" w:ascii="宋体"/>
          <w:b/>
          <w:snapToGrid w:val="0"/>
          <w:sz w:val="28"/>
          <w:highlight w:val="none"/>
        </w:rPr>
        <w:t>（三）投标报价明细</w:t>
      </w:r>
    </w:p>
    <w:p w14:paraId="35DDB2AE">
      <w:pPr>
        <w:jc w:val="left"/>
        <w:rPr>
          <w:rFonts w:ascii="宋体"/>
          <w:b/>
          <w:snapToGrid w:val="0"/>
          <w:sz w:val="28"/>
          <w:highlight w:val="none"/>
        </w:rPr>
      </w:pPr>
      <w:r>
        <w:rPr>
          <w:rFonts w:hint="eastAsia" w:ascii="宋体" w:hAnsi="宋体"/>
          <w:sz w:val="24"/>
          <w:szCs w:val="24"/>
          <w:highlight w:val="none"/>
        </w:rPr>
        <w:t>单位：万元</w:t>
      </w:r>
    </w:p>
    <w:tbl>
      <w:tblPr>
        <w:tblStyle w:val="34"/>
        <w:tblW w:w="8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939"/>
        <w:gridCol w:w="1773"/>
        <w:gridCol w:w="1006"/>
        <w:gridCol w:w="1020"/>
        <w:gridCol w:w="1025"/>
        <w:gridCol w:w="1159"/>
      </w:tblGrid>
      <w:tr w14:paraId="62097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vAlign w:val="center"/>
          </w:tcPr>
          <w:p w14:paraId="151C86F1">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序号</w:t>
            </w:r>
          </w:p>
        </w:tc>
        <w:tc>
          <w:tcPr>
            <w:tcW w:w="1939" w:type="dxa"/>
            <w:vAlign w:val="center"/>
          </w:tcPr>
          <w:p w14:paraId="02719B34">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项目名称</w:t>
            </w:r>
          </w:p>
        </w:tc>
        <w:tc>
          <w:tcPr>
            <w:tcW w:w="1773" w:type="dxa"/>
            <w:vAlign w:val="center"/>
          </w:tcPr>
          <w:p w14:paraId="5B5BD096">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计费标准</w:t>
            </w:r>
          </w:p>
        </w:tc>
        <w:tc>
          <w:tcPr>
            <w:tcW w:w="1006" w:type="dxa"/>
            <w:vAlign w:val="center"/>
          </w:tcPr>
          <w:p w14:paraId="6C5DFB42">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最高投标比率</w:t>
            </w:r>
          </w:p>
        </w:tc>
        <w:tc>
          <w:tcPr>
            <w:tcW w:w="1020" w:type="dxa"/>
            <w:vAlign w:val="center"/>
          </w:tcPr>
          <w:p w14:paraId="6C7D11FA">
            <w:pPr>
              <w:jc w:val="center"/>
              <w:rPr>
                <w:rFonts w:hint="eastAsia" w:ascii="宋体" w:hAnsi="宋体" w:cs="宋体"/>
                <w:bCs/>
                <w:szCs w:val="21"/>
                <w:highlight w:val="none"/>
              </w:rPr>
            </w:pPr>
            <w:r>
              <w:rPr>
                <w:rFonts w:hint="eastAsia" w:ascii="宋体" w:hAnsi="宋体" w:cs="宋体"/>
                <w:bCs/>
                <w:szCs w:val="21"/>
                <w:highlight w:val="none"/>
              </w:rPr>
              <w:t>最高</w:t>
            </w:r>
          </w:p>
          <w:p w14:paraId="15279F88">
            <w:pPr>
              <w:jc w:val="center"/>
              <w:rPr>
                <w:rFonts w:hint="eastAsia" w:ascii="宋体" w:hAnsi="宋体" w:cs="宋体"/>
                <w:bCs/>
                <w:szCs w:val="21"/>
                <w:highlight w:val="none"/>
              </w:rPr>
            </w:pPr>
            <w:r>
              <w:rPr>
                <w:rFonts w:hint="eastAsia" w:ascii="宋体" w:hAnsi="宋体" w:cs="宋体"/>
                <w:bCs/>
                <w:szCs w:val="21"/>
                <w:highlight w:val="none"/>
              </w:rPr>
              <w:t>限价</w:t>
            </w:r>
          </w:p>
        </w:tc>
        <w:tc>
          <w:tcPr>
            <w:tcW w:w="1025" w:type="dxa"/>
            <w:vAlign w:val="center"/>
          </w:tcPr>
          <w:p w14:paraId="2C1FD3B0">
            <w:pPr>
              <w:jc w:val="center"/>
              <w:rPr>
                <w:rFonts w:hint="eastAsia" w:ascii="宋体" w:hAnsi="宋体" w:cs="宋体"/>
                <w:bCs/>
                <w:szCs w:val="21"/>
                <w:highlight w:val="none"/>
              </w:rPr>
            </w:pPr>
            <w:r>
              <w:rPr>
                <w:rFonts w:hint="eastAsia" w:ascii="宋体" w:hAnsi="宋体" w:cs="宋体"/>
                <w:bCs/>
                <w:szCs w:val="21"/>
                <w:highlight w:val="none"/>
              </w:rPr>
              <w:t>投标</w:t>
            </w:r>
          </w:p>
          <w:p w14:paraId="5C08D204">
            <w:pPr>
              <w:jc w:val="center"/>
              <w:rPr>
                <w:rFonts w:hint="eastAsia" w:ascii="宋体" w:hAnsi="宋体" w:cs="宋体"/>
                <w:bCs/>
                <w:szCs w:val="21"/>
                <w:highlight w:val="none"/>
              </w:rPr>
            </w:pPr>
            <w:r>
              <w:rPr>
                <w:rFonts w:hint="eastAsia" w:ascii="宋体" w:hAnsi="宋体" w:cs="宋体"/>
                <w:bCs/>
                <w:szCs w:val="21"/>
                <w:highlight w:val="none"/>
              </w:rPr>
              <w:t>比率</w:t>
            </w:r>
          </w:p>
        </w:tc>
        <w:tc>
          <w:tcPr>
            <w:tcW w:w="1159" w:type="dxa"/>
            <w:vAlign w:val="center"/>
          </w:tcPr>
          <w:p w14:paraId="596DBD71">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小计</w:t>
            </w:r>
          </w:p>
        </w:tc>
      </w:tr>
      <w:tr w14:paraId="0542D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750" w:type="dxa"/>
            <w:vAlign w:val="center"/>
          </w:tcPr>
          <w:p w14:paraId="20405F8B">
            <w:pPr>
              <w:jc w:val="center"/>
              <w:rPr>
                <w:rFonts w:hint="eastAsia" w:ascii="宋体" w:hAnsi="宋体" w:cs="宋体"/>
                <w:bCs/>
                <w:szCs w:val="21"/>
                <w:highlight w:val="none"/>
              </w:rPr>
            </w:pPr>
            <w:r>
              <w:rPr>
                <w:rFonts w:hint="eastAsia" w:ascii="宋体" w:hAnsi="宋体" w:cs="宋体"/>
                <w:bCs/>
                <w:szCs w:val="21"/>
                <w:highlight w:val="none"/>
              </w:rPr>
              <w:t>1</w:t>
            </w:r>
          </w:p>
        </w:tc>
        <w:tc>
          <w:tcPr>
            <w:tcW w:w="1939" w:type="dxa"/>
            <w:vAlign w:val="center"/>
          </w:tcPr>
          <w:p w14:paraId="609E2678">
            <w:pPr>
              <w:jc w:val="left"/>
              <w:rPr>
                <w:rFonts w:hint="eastAsia" w:ascii="宋体" w:hAnsi="宋体" w:cs="宋体"/>
                <w:bCs/>
                <w:szCs w:val="21"/>
                <w:highlight w:val="none"/>
              </w:rPr>
            </w:pPr>
            <w:r>
              <w:rPr>
                <w:rFonts w:hint="eastAsia" w:ascii="宋体" w:hAnsi="宋体" w:cs="宋体"/>
                <w:szCs w:val="21"/>
                <w:highlight w:val="none"/>
              </w:rPr>
              <w:t>建筑安装工程结算审计（审核）费</w:t>
            </w:r>
          </w:p>
        </w:tc>
        <w:tc>
          <w:tcPr>
            <w:tcW w:w="1773" w:type="dxa"/>
            <w:vMerge w:val="restart"/>
            <w:vAlign w:val="center"/>
          </w:tcPr>
          <w:p w14:paraId="03BDCD41">
            <w:pPr>
              <w:jc w:val="left"/>
              <w:rPr>
                <w:rFonts w:hint="eastAsia" w:ascii="宋体" w:hAnsi="宋体" w:cs="宋体"/>
                <w:bCs/>
                <w:szCs w:val="21"/>
                <w:highlight w:val="none"/>
              </w:rPr>
            </w:pPr>
            <w:r>
              <w:rPr>
                <w:rFonts w:hint="eastAsia" w:ascii="宋体" w:hAnsi="宋体" w:cs="宋体"/>
                <w:bCs/>
                <w:szCs w:val="21"/>
                <w:highlight w:val="none"/>
              </w:rPr>
              <w:t>宜纪[2009]23号文《关于市政府建设项目委托中介机构参审审计费用结算问题的协调会议纪要》</w:t>
            </w:r>
          </w:p>
        </w:tc>
        <w:tc>
          <w:tcPr>
            <w:tcW w:w="1006" w:type="dxa"/>
            <w:vAlign w:val="center"/>
          </w:tcPr>
          <w:p w14:paraId="2377F4E1">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70%</w:t>
            </w:r>
          </w:p>
        </w:tc>
        <w:tc>
          <w:tcPr>
            <w:tcW w:w="1020" w:type="dxa"/>
            <w:vAlign w:val="center"/>
          </w:tcPr>
          <w:p w14:paraId="4BFA3367">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5.29</w:t>
            </w:r>
          </w:p>
        </w:tc>
        <w:tc>
          <w:tcPr>
            <w:tcW w:w="1025" w:type="dxa"/>
            <w:vAlign w:val="center"/>
          </w:tcPr>
          <w:p w14:paraId="5892E430">
            <w:pPr>
              <w:spacing w:before="143" w:beforeLines="50" w:after="143" w:afterLines="50"/>
              <w:jc w:val="center"/>
              <w:rPr>
                <w:rFonts w:hint="eastAsia" w:ascii="宋体" w:hAnsi="宋体" w:cs="宋体"/>
                <w:bCs/>
                <w:szCs w:val="21"/>
                <w:highlight w:val="none"/>
              </w:rPr>
            </w:pPr>
          </w:p>
        </w:tc>
        <w:tc>
          <w:tcPr>
            <w:tcW w:w="1159" w:type="dxa"/>
            <w:vAlign w:val="center"/>
          </w:tcPr>
          <w:p w14:paraId="1648E340">
            <w:pPr>
              <w:spacing w:before="143" w:beforeLines="50" w:after="143" w:afterLines="50"/>
              <w:jc w:val="center"/>
              <w:rPr>
                <w:rFonts w:hint="eastAsia" w:ascii="宋体" w:hAnsi="宋体" w:cs="宋体"/>
                <w:bCs/>
                <w:szCs w:val="21"/>
                <w:highlight w:val="none"/>
              </w:rPr>
            </w:pPr>
          </w:p>
        </w:tc>
      </w:tr>
      <w:tr w14:paraId="657A1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750" w:type="dxa"/>
            <w:vAlign w:val="center"/>
          </w:tcPr>
          <w:p w14:paraId="6F7032D3">
            <w:pPr>
              <w:jc w:val="center"/>
              <w:rPr>
                <w:rFonts w:hint="eastAsia" w:ascii="宋体" w:hAnsi="宋体" w:cs="宋体"/>
                <w:bCs/>
                <w:szCs w:val="21"/>
                <w:highlight w:val="none"/>
              </w:rPr>
            </w:pPr>
            <w:r>
              <w:rPr>
                <w:rFonts w:hint="eastAsia" w:ascii="宋体" w:hAnsi="宋体" w:cs="宋体"/>
                <w:bCs/>
                <w:szCs w:val="21"/>
                <w:highlight w:val="none"/>
              </w:rPr>
              <w:t>2</w:t>
            </w:r>
          </w:p>
        </w:tc>
        <w:tc>
          <w:tcPr>
            <w:tcW w:w="1939" w:type="dxa"/>
            <w:vAlign w:val="center"/>
          </w:tcPr>
          <w:p w14:paraId="3E5AAABC">
            <w:pPr>
              <w:jc w:val="left"/>
              <w:rPr>
                <w:rFonts w:hint="eastAsia" w:ascii="宋体" w:hAnsi="宋体" w:cs="宋体"/>
                <w:bCs/>
                <w:szCs w:val="21"/>
                <w:highlight w:val="none"/>
              </w:rPr>
            </w:pPr>
            <w:r>
              <w:rPr>
                <w:rFonts w:hint="eastAsia" w:ascii="宋体" w:hAnsi="宋体" w:cs="宋体"/>
                <w:szCs w:val="21"/>
                <w:highlight w:val="none"/>
              </w:rPr>
              <w:t>建筑安装工程跟踪审计（审核）费</w:t>
            </w:r>
          </w:p>
        </w:tc>
        <w:tc>
          <w:tcPr>
            <w:tcW w:w="1773" w:type="dxa"/>
            <w:vMerge w:val="continue"/>
            <w:vAlign w:val="center"/>
          </w:tcPr>
          <w:p w14:paraId="3754BF4C">
            <w:pPr>
              <w:jc w:val="left"/>
              <w:rPr>
                <w:rFonts w:hint="eastAsia" w:ascii="宋体" w:hAnsi="宋体" w:cs="宋体"/>
                <w:bCs/>
                <w:szCs w:val="21"/>
                <w:highlight w:val="none"/>
              </w:rPr>
            </w:pPr>
          </w:p>
        </w:tc>
        <w:tc>
          <w:tcPr>
            <w:tcW w:w="1006" w:type="dxa"/>
            <w:vAlign w:val="center"/>
          </w:tcPr>
          <w:p w14:paraId="493B87A6">
            <w:pPr>
              <w:jc w:val="center"/>
              <w:rPr>
                <w:rFonts w:hint="eastAsia" w:ascii="宋体" w:hAnsi="宋体" w:cs="宋体"/>
                <w:bCs/>
                <w:szCs w:val="21"/>
                <w:highlight w:val="none"/>
              </w:rPr>
            </w:pPr>
            <w:r>
              <w:rPr>
                <w:rFonts w:hint="eastAsia" w:ascii="宋体" w:hAnsi="宋体" w:cs="宋体"/>
                <w:bCs/>
                <w:szCs w:val="21"/>
                <w:highlight w:val="none"/>
                <w:lang w:val="en-US" w:eastAsia="zh-CN"/>
              </w:rPr>
              <w:t>70%</w:t>
            </w:r>
          </w:p>
        </w:tc>
        <w:tc>
          <w:tcPr>
            <w:tcW w:w="1020" w:type="dxa"/>
            <w:vAlign w:val="center"/>
          </w:tcPr>
          <w:p w14:paraId="0BCFB842">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9.23</w:t>
            </w:r>
          </w:p>
        </w:tc>
        <w:tc>
          <w:tcPr>
            <w:tcW w:w="1025" w:type="dxa"/>
            <w:vAlign w:val="center"/>
          </w:tcPr>
          <w:p w14:paraId="3ADC845C">
            <w:pPr>
              <w:spacing w:before="143" w:beforeLines="50" w:after="143" w:afterLines="50"/>
              <w:jc w:val="center"/>
              <w:rPr>
                <w:rFonts w:hint="eastAsia" w:ascii="宋体" w:hAnsi="宋体" w:cs="宋体"/>
                <w:bCs/>
                <w:szCs w:val="21"/>
                <w:highlight w:val="none"/>
              </w:rPr>
            </w:pPr>
          </w:p>
        </w:tc>
        <w:tc>
          <w:tcPr>
            <w:tcW w:w="1159" w:type="dxa"/>
            <w:vAlign w:val="center"/>
          </w:tcPr>
          <w:p w14:paraId="38CE82BB">
            <w:pPr>
              <w:spacing w:before="143" w:beforeLines="50" w:after="143" w:afterLines="50"/>
              <w:jc w:val="center"/>
              <w:rPr>
                <w:rFonts w:hint="eastAsia" w:ascii="宋体" w:hAnsi="宋体" w:cs="宋体"/>
                <w:bCs/>
                <w:szCs w:val="21"/>
                <w:highlight w:val="none"/>
              </w:rPr>
            </w:pPr>
          </w:p>
        </w:tc>
      </w:tr>
      <w:tr w14:paraId="1265E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750" w:type="dxa"/>
            <w:vAlign w:val="center"/>
          </w:tcPr>
          <w:p w14:paraId="18557171">
            <w:pPr>
              <w:jc w:val="center"/>
              <w:rPr>
                <w:rFonts w:hint="eastAsia" w:ascii="宋体" w:hAnsi="宋体" w:cs="宋体"/>
                <w:bCs/>
                <w:szCs w:val="21"/>
                <w:highlight w:val="none"/>
              </w:rPr>
            </w:pPr>
            <w:r>
              <w:rPr>
                <w:rFonts w:hint="eastAsia" w:ascii="宋体" w:hAnsi="宋体" w:cs="宋体"/>
                <w:bCs/>
                <w:szCs w:val="21"/>
                <w:highlight w:val="none"/>
              </w:rPr>
              <w:t>3</w:t>
            </w:r>
          </w:p>
        </w:tc>
        <w:tc>
          <w:tcPr>
            <w:tcW w:w="1939" w:type="dxa"/>
            <w:vAlign w:val="center"/>
          </w:tcPr>
          <w:p w14:paraId="20EDB05A">
            <w:pPr>
              <w:jc w:val="left"/>
              <w:rPr>
                <w:rFonts w:hint="eastAsia" w:ascii="宋体" w:hAnsi="宋体" w:cs="宋体"/>
                <w:bCs/>
                <w:szCs w:val="21"/>
                <w:highlight w:val="none"/>
              </w:rPr>
            </w:pPr>
            <w:r>
              <w:rPr>
                <w:rFonts w:hint="eastAsia" w:ascii="宋体" w:hAnsi="宋体" w:cs="宋体"/>
                <w:bCs/>
                <w:szCs w:val="21"/>
                <w:highlight w:val="none"/>
              </w:rPr>
              <w:t>项目管理</w:t>
            </w:r>
          </w:p>
        </w:tc>
        <w:tc>
          <w:tcPr>
            <w:tcW w:w="1773" w:type="dxa"/>
            <w:vAlign w:val="center"/>
          </w:tcPr>
          <w:p w14:paraId="59933E4A">
            <w:pPr>
              <w:jc w:val="left"/>
              <w:rPr>
                <w:rFonts w:hint="eastAsia" w:ascii="宋体" w:hAnsi="宋体" w:cs="宋体"/>
                <w:bCs/>
                <w:szCs w:val="21"/>
                <w:highlight w:val="none"/>
              </w:rPr>
            </w:pPr>
            <w:r>
              <w:rPr>
                <w:rFonts w:hint="eastAsia" w:ascii="宋体" w:hAnsi="宋体" w:cs="宋体"/>
                <w:szCs w:val="21"/>
                <w:highlight w:val="none"/>
              </w:rPr>
              <w:t>按财建【2016】504 号文规定</w:t>
            </w:r>
          </w:p>
        </w:tc>
        <w:tc>
          <w:tcPr>
            <w:tcW w:w="1006" w:type="dxa"/>
            <w:vAlign w:val="center"/>
          </w:tcPr>
          <w:p w14:paraId="00C995AC">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1%</w:t>
            </w:r>
          </w:p>
        </w:tc>
        <w:tc>
          <w:tcPr>
            <w:tcW w:w="1020" w:type="dxa"/>
            <w:vAlign w:val="center"/>
          </w:tcPr>
          <w:p w14:paraId="507F9377">
            <w:pPr>
              <w:jc w:val="center"/>
              <w:rPr>
                <w:rFonts w:hint="default" w:ascii="宋体" w:hAnsi="宋体" w:eastAsia="仿宋_GB2312" w:cs="宋体"/>
                <w:bCs/>
                <w:szCs w:val="21"/>
                <w:highlight w:val="none"/>
                <w:lang w:val="en-US" w:eastAsia="zh-CN"/>
              </w:rPr>
            </w:pPr>
            <w:r>
              <w:rPr>
                <w:rFonts w:hint="eastAsia" w:ascii="宋体" w:hAnsi="宋体" w:eastAsia="仿宋_GB2312" w:cs="宋体"/>
                <w:bCs/>
                <w:szCs w:val="21"/>
                <w:highlight w:val="none"/>
                <w:lang w:val="en-US" w:eastAsia="zh-CN"/>
              </w:rPr>
              <w:t>0.5</w:t>
            </w:r>
          </w:p>
        </w:tc>
        <w:tc>
          <w:tcPr>
            <w:tcW w:w="1025" w:type="dxa"/>
            <w:vAlign w:val="center"/>
          </w:tcPr>
          <w:p w14:paraId="49492DF9">
            <w:pPr>
              <w:spacing w:before="143" w:beforeLines="50" w:after="143" w:afterLines="50"/>
              <w:jc w:val="center"/>
              <w:rPr>
                <w:rFonts w:hint="eastAsia" w:ascii="宋体" w:hAnsi="宋体" w:cs="宋体"/>
                <w:bCs/>
                <w:szCs w:val="21"/>
                <w:highlight w:val="none"/>
              </w:rPr>
            </w:pPr>
          </w:p>
        </w:tc>
        <w:tc>
          <w:tcPr>
            <w:tcW w:w="1159" w:type="dxa"/>
            <w:vAlign w:val="center"/>
          </w:tcPr>
          <w:p w14:paraId="1775846C">
            <w:pPr>
              <w:spacing w:before="143" w:beforeLines="50" w:after="143" w:afterLines="50"/>
              <w:jc w:val="center"/>
              <w:rPr>
                <w:rFonts w:hint="eastAsia" w:ascii="宋体" w:hAnsi="宋体" w:cs="宋体"/>
                <w:bCs/>
                <w:szCs w:val="21"/>
                <w:highlight w:val="none"/>
              </w:rPr>
            </w:pPr>
          </w:p>
        </w:tc>
      </w:tr>
      <w:tr w14:paraId="53FF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50" w:type="dxa"/>
            <w:vAlign w:val="center"/>
          </w:tcPr>
          <w:p w14:paraId="6ADBF3E7">
            <w:pPr>
              <w:jc w:val="center"/>
              <w:rPr>
                <w:rFonts w:hint="eastAsia" w:ascii="宋体" w:hAnsi="宋体" w:cs="宋体"/>
                <w:bCs/>
                <w:szCs w:val="21"/>
                <w:highlight w:val="none"/>
              </w:rPr>
            </w:pPr>
            <w:r>
              <w:rPr>
                <w:rFonts w:hint="eastAsia" w:ascii="宋体" w:hAnsi="宋体" w:cs="宋体"/>
                <w:bCs/>
                <w:szCs w:val="21"/>
                <w:highlight w:val="none"/>
              </w:rPr>
              <w:t>4</w:t>
            </w:r>
          </w:p>
        </w:tc>
        <w:tc>
          <w:tcPr>
            <w:tcW w:w="1939" w:type="dxa"/>
            <w:vAlign w:val="center"/>
          </w:tcPr>
          <w:p w14:paraId="1328DF21">
            <w:pPr>
              <w:jc w:val="left"/>
              <w:rPr>
                <w:rFonts w:hint="eastAsia" w:ascii="宋体" w:hAnsi="宋体" w:cs="宋体"/>
                <w:bCs/>
                <w:szCs w:val="21"/>
                <w:highlight w:val="none"/>
              </w:rPr>
            </w:pPr>
            <w:r>
              <w:rPr>
                <w:rFonts w:hint="eastAsia" w:ascii="宋体" w:hAnsi="宋体" w:cs="宋体"/>
                <w:szCs w:val="21"/>
                <w:highlight w:val="none"/>
              </w:rPr>
              <w:t>工程</w:t>
            </w:r>
            <w:r>
              <w:rPr>
                <w:rFonts w:hint="eastAsia" w:ascii="宋体" w:hAnsi="宋体" w:cs="宋体"/>
                <w:bCs/>
                <w:szCs w:val="21"/>
                <w:highlight w:val="none"/>
              </w:rPr>
              <w:t>监理服务费</w:t>
            </w:r>
          </w:p>
        </w:tc>
        <w:tc>
          <w:tcPr>
            <w:tcW w:w="1773" w:type="dxa"/>
            <w:vAlign w:val="center"/>
          </w:tcPr>
          <w:p w14:paraId="2204B25B">
            <w:pPr>
              <w:jc w:val="left"/>
              <w:rPr>
                <w:rFonts w:hint="default" w:ascii="宋体" w:hAnsi="宋体" w:eastAsia="宋体" w:cs="宋体"/>
                <w:bCs/>
                <w:szCs w:val="21"/>
                <w:highlight w:val="none"/>
                <w:lang w:val="en-US" w:eastAsia="zh-CN"/>
              </w:rPr>
            </w:pPr>
            <w:r>
              <w:rPr>
                <w:rFonts w:hint="eastAsia" w:ascii="宋体" w:hAnsi="宋体" w:cs="宋体"/>
                <w:bCs/>
                <w:szCs w:val="21"/>
                <w:highlight w:val="none"/>
              </w:rPr>
              <w:t>按《江苏省水利工程设计概（估）算编制规定（2017年修订）》规定</w:t>
            </w:r>
            <w:r>
              <w:rPr>
                <w:rFonts w:hint="eastAsia" w:ascii="宋体" w:hAnsi="宋体" w:cs="宋体"/>
                <w:bCs/>
                <w:szCs w:val="21"/>
                <w:highlight w:val="none"/>
                <w:lang w:val="en-US" w:eastAsia="zh-CN"/>
              </w:rPr>
              <w:t>计算基价</w:t>
            </w:r>
          </w:p>
        </w:tc>
        <w:tc>
          <w:tcPr>
            <w:tcW w:w="1006" w:type="dxa"/>
            <w:vAlign w:val="center"/>
          </w:tcPr>
          <w:p w14:paraId="293B1DD5">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44%</w:t>
            </w:r>
          </w:p>
        </w:tc>
        <w:tc>
          <w:tcPr>
            <w:tcW w:w="1020" w:type="dxa"/>
            <w:vAlign w:val="center"/>
          </w:tcPr>
          <w:p w14:paraId="5BF446E0">
            <w:pPr>
              <w:widowControl/>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34.56</w:t>
            </w:r>
          </w:p>
        </w:tc>
        <w:tc>
          <w:tcPr>
            <w:tcW w:w="1025" w:type="dxa"/>
            <w:vAlign w:val="center"/>
          </w:tcPr>
          <w:p w14:paraId="454FD8B1">
            <w:pPr>
              <w:spacing w:before="143" w:beforeLines="50" w:after="143" w:afterLines="50"/>
              <w:jc w:val="center"/>
              <w:rPr>
                <w:rFonts w:hint="default" w:ascii="宋体" w:hAnsi="宋体" w:eastAsia="宋体" w:cs="宋体"/>
                <w:bCs/>
                <w:szCs w:val="21"/>
                <w:highlight w:val="none"/>
                <w:lang w:val="en-US" w:eastAsia="zh-CN"/>
              </w:rPr>
            </w:pPr>
          </w:p>
        </w:tc>
        <w:tc>
          <w:tcPr>
            <w:tcW w:w="1159" w:type="dxa"/>
            <w:vAlign w:val="center"/>
          </w:tcPr>
          <w:p w14:paraId="2338C58F">
            <w:pPr>
              <w:spacing w:before="143" w:beforeLines="50" w:after="143" w:afterLines="50"/>
              <w:jc w:val="center"/>
              <w:rPr>
                <w:rFonts w:hint="default" w:ascii="宋体" w:hAnsi="宋体" w:eastAsia="宋体" w:cs="宋体"/>
                <w:bCs/>
                <w:szCs w:val="21"/>
                <w:highlight w:val="none"/>
                <w:lang w:val="en-US" w:eastAsia="zh-CN"/>
              </w:rPr>
            </w:pPr>
          </w:p>
        </w:tc>
      </w:tr>
      <w:tr w14:paraId="0A973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5468" w:type="dxa"/>
            <w:gridSpan w:val="4"/>
            <w:vAlign w:val="center"/>
          </w:tcPr>
          <w:p w14:paraId="17AE4042">
            <w:pPr>
              <w:spacing w:before="143" w:beforeLines="50" w:after="143" w:afterLines="50"/>
              <w:jc w:val="center"/>
              <w:rPr>
                <w:rFonts w:hint="eastAsia" w:ascii="宋体" w:hAnsi="宋体" w:cs="宋体"/>
                <w:szCs w:val="21"/>
                <w:highlight w:val="none"/>
              </w:rPr>
            </w:pPr>
            <w:r>
              <w:rPr>
                <w:rFonts w:hint="eastAsia" w:ascii="宋体" w:hAnsi="宋体" w:cs="宋体"/>
                <w:sz w:val="24"/>
                <w:szCs w:val="24"/>
                <w:highlight w:val="none"/>
              </w:rPr>
              <w:t>合计（1+2+3+4）</w:t>
            </w:r>
          </w:p>
        </w:tc>
        <w:tc>
          <w:tcPr>
            <w:tcW w:w="1020" w:type="dxa"/>
            <w:vAlign w:val="center"/>
          </w:tcPr>
          <w:p w14:paraId="12E3E205">
            <w:pPr>
              <w:spacing w:before="143" w:beforeLines="50" w:after="143" w:afterLines="50"/>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49.58</w:t>
            </w:r>
          </w:p>
        </w:tc>
        <w:tc>
          <w:tcPr>
            <w:tcW w:w="1025" w:type="dxa"/>
            <w:vAlign w:val="center"/>
          </w:tcPr>
          <w:p w14:paraId="4B629C94">
            <w:pPr>
              <w:spacing w:before="143" w:beforeLines="50" w:after="143" w:afterLines="50"/>
              <w:jc w:val="center"/>
              <w:rPr>
                <w:rFonts w:hint="default" w:ascii="宋体" w:hAnsi="宋体" w:eastAsia="宋体" w:cs="宋体"/>
                <w:bCs/>
                <w:szCs w:val="21"/>
                <w:highlight w:val="none"/>
                <w:lang w:val="en-US" w:eastAsia="zh-CN"/>
              </w:rPr>
            </w:pPr>
          </w:p>
        </w:tc>
        <w:tc>
          <w:tcPr>
            <w:tcW w:w="1159" w:type="dxa"/>
            <w:vAlign w:val="center"/>
          </w:tcPr>
          <w:p w14:paraId="211DAD8A">
            <w:pPr>
              <w:spacing w:before="143" w:beforeLines="50" w:after="143" w:afterLines="50"/>
              <w:jc w:val="center"/>
              <w:rPr>
                <w:rFonts w:hint="eastAsia" w:ascii="宋体" w:hAnsi="宋体" w:cs="宋体"/>
                <w:bCs/>
                <w:szCs w:val="21"/>
                <w:highlight w:val="none"/>
              </w:rPr>
            </w:pPr>
          </w:p>
        </w:tc>
      </w:tr>
    </w:tbl>
    <w:p w14:paraId="671D7F6D">
      <w:pPr>
        <w:spacing w:line="360" w:lineRule="auto"/>
        <w:ind w:firstLine="420" w:firstLineChars="200"/>
        <w:jc w:val="left"/>
        <w:rPr>
          <w:rFonts w:hint="eastAsia" w:ascii="宋体" w:hAnsi="宋体"/>
          <w:szCs w:val="21"/>
          <w:highlight w:val="none"/>
        </w:rPr>
      </w:pPr>
    </w:p>
    <w:p w14:paraId="71AE7533">
      <w:pPr>
        <w:spacing w:line="360" w:lineRule="auto"/>
        <w:ind w:firstLine="420" w:firstLineChars="200"/>
        <w:jc w:val="left"/>
        <w:rPr>
          <w:rFonts w:hint="eastAsia" w:ascii="宋体" w:hAnsi="宋体"/>
          <w:szCs w:val="21"/>
          <w:highlight w:val="none"/>
        </w:rPr>
      </w:pPr>
      <w:r>
        <w:rPr>
          <w:rFonts w:hint="eastAsia" w:ascii="宋体" w:hAnsi="宋体"/>
          <w:szCs w:val="21"/>
          <w:highlight w:val="none"/>
        </w:rPr>
        <w:t>注：投标报价必须按照上述表格报价，不得自行增加或减少报价内容，否则按废标处理。</w:t>
      </w:r>
    </w:p>
    <w:p w14:paraId="4CD3285A">
      <w:pPr>
        <w:spacing w:line="360" w:lineRule="auto"/>
        <w:ind w:firstLine="420" w:firstLineChars="200"/>
        <w:jc w:val="left"/>
        <w:rPr>
          <w:rFonts w:hint="eastAsia" w:ascii="宋体" w:hAnsi="宋体"/>
          <w:szCs w:val="21"/>
          <w:highlight w:val="none"/>
        </w:rPr>
      </w:pPr>
    </w:p>
    <w:p w14:paraId="5BBFE43A">
      <w:pPr>
        <w:spacing w:line="360" w:lineRule="auto"/>
        <w:ind w:firstLine="420" w:firstLineChars="200"/>
        <w:jc w:val="left"/>
        <w:rPr>
          <w:rFonts w:hint="eastAsia" w:ascii="宋体" w:hAnsi="宋体"/>
          <w:szCs w:val="21"/>
          <w:highlight w:val="none"/>
        </w:rPr>
      </w:pPr>
    </w:p>
    <w:p w14:paraId="6BA3759C">
      <w:pPr>
        <w:spacing w:line="360" w:lineRule="auto"/>
        <w:ind w:firstLine="4200" w:firstLineChars="2000"/>
        <w:jc w:val="left"/>
        <w:rPr>
          <w:rFonts w:ascii="宋体"/>
          <w:snapToGrid w:val="0"/>
          <w:kern w:val="0"/>
          <w:szCs w:val="21"/>
          <w:highlight w:val="none"/>
        </w:rPr>
      </w:pPr>
      <w:r>
        <w:rPr>
          <w:rFonts w:hint="eastAsia" w:ascii="宋体" w:hAnsi="宋体"/>
          <w:snapToGrid w:val="0"/>
          <w:kern w:val="0"/>
          <w:szCs w:val="21"/>
          <w:highlight w:val="none"/>
        </w:rPr>
        <w:t>投</w:t>
      </w:r>
      <w:r>
        <w:rPr>
          <w:rFonts w:ascii="宋体" w:hAnsi="宋体"/>
          <w:snapToGrid w:val="0"/>
          <w:kern w:val="0"/>
          <w:szCs w:val="21"/>
          <w:highlight w:val="none"/>
        </w:rPr>
        <w:t xml:space="preserve"> </w:t>
      </w:r>
      <w:r>
        <w:rPr>
          <w:rFonts w:hint="eastAsia" w:ascii="宋体" w:hAnsi="宋体"/>
          <w:snapToGrid w:val="0"/>
          <w:kern w:val="0"/>
          <w:szCs w:val="21"/>
          <w:highlight w:val="none"/>
        </w:rPr>
        <w:t>标</w:t>
      </w:r>
      <w:r>
        <w:rPr>
          <w:rFonts w:ascii="宋体" w:hAnsi="宋体"/>
          <w:snapToGrid w:val="0"/>
          <w:kern w:val="0"/>
          <w:szCs w:val="21"/>
          <w:highlight w:val="none"/>
        </w:rPr>
        <w:t xml:space="preserve"> </w:t>
      </w:r>
      <w:r>
        <w:rPr>
          <w:rFonts w:hint="eastAsia" w:ascii="宋体" w:hAnsi="宋体"/>
          <w:snapToGrid w:val="0"/>
          <w:kern w:val="0"/>
          <w:szCs w:val="21"/>
          <w:highlight w:val="none"/>
        </w:rPr>
        <w:t>人：</w:t>
      </w:r>
      <w:r>
        <w:rPr>
          <w:rFonts w:ascii="宋体" w:hAnsi="宋体"/>
          <w:snapToGrid w:val="0"/>
          <w:kern w:val="0"/>
          <w:szCs w:val="21"/>
          <w:highlight w:val="none"/>
        </w:rPr>
        <w:t>____________</w:t>
      </w:r>
      <w:r>
        <w:rPr>
          <w:rFonts w:hint="eastAsia" w:ascii="宋体" w:hAnsi="宋体"/>
          <w:snapToGrid w:val="0"/>
          <w:kern w:val="0"/>
          <w:szCs w:val="21"/>
          <w:highlight w:val="none"/>
        </w:rPr>
        <w:t>（盖章）</w:t>
      </w:r>
    </w:p>
    <w:p w14:paraId="78E3DB21">
      <w:pPr>
        <w:spacing w:line="360" w:lineRule="auto"/>
        <w:ind w:firstLine="4200" w:firstLineChars="2000"/>
        <w:jc w:val="left"/>
        <w:rPr>
          <w:rFonts w:ascii="宋体"/>
          <w:snapToGrid w:val="0"/>
          <w:kern w:val="0"/>
          <w:szCs w:val="21"/>
          <w:highlight w:val="none"/>
        </w:rPr>
      </w:pPr>
      <w:r>
        <w:rPr>
          <w:rFonts w:hint="eastAsia" w:ascii="宋体" w:hAnsi="宋体"/>
          <w:snapToGrid w:val="0"/>
          <w:kern w:val="0"/>
          <w:szCs w:val="21"/>
          <w:highlight w:val="none"/>
        </w:rPr>
        <w:t>法定代表人：</w:t>
      </w:r>
      <w:r>
        <w:rPr>
          <w:rFonts w:ascii="宋体" w:hAnsi="宋体"/>
          <w:snapToGrid w:val="0"/>
          <w:kern w:val="0"/>
          <w:szCs w:val="21"/>
          <w:highlight w:val="none"/>
        </w:rPr>
        <w:t>____________________</w:t>
      </w:r>
      <w:r>
        <w:rPr>
          <w:rFonts w:hint="eastAsia" w:ascii="宋体" w:hAnsi="宋体"/>
          <w:szCs w:val="21"/>
          <w:highlight w:val="none"/>
        </w:rPr>
        <w:t>（签字）</w:t>
      </w:r>
    </w:p>
    <w:p w14:paraId="585A6BC3">
      <w:pPr>
        <w:spacing w:line="360" w:lineRule="auto"/>
        <w:ind w:firstLine="4200" w:firstLineChars="2000"/>
        <w:jc w:val="left"/>
        <w:rPr>
          <w:rFonts w:ascii="宋体"/>
          <w:snapToGrid w:val="0"/>
          <w:kern w:val="0"/>
          <w:szCs w:val="21"/>
          <w:highlight w:val="none"/>
        </w:rPr>
      </w:pPr>
      <w:r>
        <w:rPr>
          <w:rFonts w:ascii="宋体" w:hAnsi="宋体"/>
          <w:snapToGrid w:val="0"/>
          <w:kern w:val="0"/>
          <w:szCs w:val="21"/>
          <w:highlight w:val="none"/>
        </w:rPr>
        <w:t>________</w:t>
      </w:r>
      <w:r>
        <w:rPr>
          <w:rFonts w:hint="eastAsia" w:ascii="宋体" w:hAnsi="宋体"/>
          <w:snapToGrid w:val="0"/>
          <w:kern w:val="0"/>
          <w:szCs w:val="21"/>
          <w:highlight w:val="none"/>
        </w:rPr>
        <w:t>年</w:t>
      </w:r>
      <w:r>
        <w:rPr>
          <w:rFonts w:ascii="宋体" w:hAnsi="宋体"/>
          <w:snapToGrid w:val="0"/>
          <w:kern w:val="0"/>
          <w:szCs w:val="21"/>
          <w:highlight w:val="none"/>
        </w:rPr>
        <w:t>_______</w:t>
      </w:r>
      <w:r>
        <w:rPr>
          <w:rFonts w:hint="eastAsia" w:ascii="宋体" w:hAnsi="宋体"/>
          <w:snapToGrid w:val="0"/>
          <w:kern w:val="0"/>
          <w:szCs w:val="21"/>
          <w:highlight w:val="none"/>
        </w:rPr>
        <w:t>月</w:t>
      </w:r>
      <w:r>
        <w:rPr>
          <w:rFonts w:ascii="宋体" w:hAnsi="宋体"/>
          <w:snapToGrid w:val="0"/>
          <w:kern w:val="0"/>
          <w:szCs w:val="21"/>
          <w:highlight w:val="none"/>
        </w:rPr>
        <w:t>_______</w:t>
      </w:r>
      <w:r>
        <w:rPr>
          <w:rFonts w:hint="eastAsia" w:ascii="宋体" w:hAnsi="宋体"/>
          <w:snapToGrid w:val="0"/>
          <w:kern w:val="0"/>
          <w:szCs w:val="21"/>
          <w:highlight w:val="none"/>
        </w:rPr>
        <w:t>日</w:t>
      </w:r>
    </w:p>
    <w:bookmarkEnd w:id="385"/>
    <w:p w14:paraId="1FE4EB89">
      <w:pPr>
        <w:jc w:val="left"/>
        <w:rPr>
          <w:rFonts w:hint="eastAsia" w:ascii="宋体" w:hAnsi="宋体" w:cs="宋体"/>
          <w:b/>
          <w:snapToGrid w:val="0"/>
          <w:sz w:val="28"/>
          <w:highlight w:val="none"/>
        </w:rPr>
      </w:pPr>
    </w:p>
    <w:p w14:paraId="2C2CBC7D">
      <w:pPr>
        <w:pStyle w:val="2"/>
        <w:jc w:val="left"/>
        <w:rPr>
          <w:highlight w:val="none"/>
        </w:rPr>
      </w:pPr>
    </w:p>
    <w:p w14:paraId="35761EB9">
      <w:pPr>
        <w:rPr>
          <w:rFonts w:hint="eastAsia" w:ascii="宋体" w:hAnsi="宋体" w:cs="宋体"/>
          <w:b/>
          <w:snapToGrid w:val="0"/>
          <w:kern w:val="0"/>
          <w:sz w:val="32"/>
          <w:highlight w:val="none"/>
        </w:rPr>
      </w:pPr>
      <w:bookmarkStart w:id="386" w:name="_Toc10811"/>
      <w:bookmarkStart w:id="387" w:name="_Toc16401"/>
      <w:bookmarkStart w:id="388" w:name="_Toc93404032"/>
      <w:r>
        <w:rPr>
          <w:rFonts w:hint="eastAsia" w:ascii="宋体" w:hAnsi="宋体" w:cs="宋体"/>
          <w:b/>
          <w:snapToGrid w:val="0"/>
          <w:kern w:val="0"/>
          <w:sz w:val="32"/>
          <w:highlight w:val="none"/>
        </w:rPr>
        <w:br w:type="page"/>
      </w:r>
    </w:p>
    <w:p w14:paraId="4B47D975">
      <w:pPr>
        <w:spacing w:line="360" w:lineRule="auto"/>
        <w:jc w:val="center"/>
        <w:outlineLvl w:val="2"/>
        <w:rPr>
          <w:rFonts w:hint="eastAsia" w:ascii="宋体" w:hAnsi="宋体" w:cs="宋体"/>
          <w:b/>
          <w:snapToGrid w:val="0"/>
          <w:kern w:val="0"/>
          <w:sz w:val="32"/>
          <w:highlight w:val="none"/>
        </w:rPr>
      </w:pPr>
      <w:r>
        <w:rPr>
          <w:rFonts w:hint="eastAsia" w:ascii="宋体" w:hAnsi="宋体" w:cs="宋体"/>
          <w:b/>
          <w:snapToGrid w:val="0"/>
          <w:kern w:val="0"/>
          <w:sz w:val="32"/>
          <w:highlight w:val="none"/>
        </w:rPr>
        <w:t>二、法定代表人身份证明</w:t>
      </w:r>
      <w:bookmarkEnd w:id="386"/>
      <w:bookmarkEnd w:id="387"/>
      <w:bookmarkEnd w:id="388"/>
    </w:p>
    <w:p w14:paraId="76AA632A">
      <w:pPr>
        <w:jc w:val="center"/>
        <w:rPr>
          <w:rFonts w:ascii="宋体" w:hAnsi="宋体"/>
          <w:b/>
          <w:sz w:val="36"/>
          <w:highlight w:val="none"/>
        </w:rPr>
      </w:pPr>
    </w:p>
    <w:p w14:paraId="319BE62C">
      <w:pPr>
        <w:rPr>
          <w:rFonts w:ascii="宋体" w:hAnsi="宋体"/>
          <w:b/>
          <w:highlight w:val="none"/>
        </w:rPr>
      </w:pPr>
    </w:p>
    <w:p w14:paraId="16AEAF0B">
      <w:pPr>
        <w:spacing w:line="360" w:lineRule="auto"/>
        <w:ind w:firstLine="612"/>
        <w:rPr>
          <w:rFonts w:hint="eastAsia" w:ascii="宋体" w:hAnsi="宋体"/>
          <w:sz w:val="24"/>
          <w:highlight w:val="none"/>
        </w:rPr>
      </w:pPr>
      <w:r>
        <w:rPr>
          <w:rFonts w:hint="eastAsia" w:ascii="宋体" w:hAnsi="宋体"/>
          <w:sz w:val="24"/>
          <w:highlight w:val="none"/>
        </w:rPr>
        <w:t>单位名称：</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p>
    <w:p w14:paraId="0EA4BE8C">
      <w:pPr>
        <w:spacing w:line="360" w:lineRule="auto"/>
        <w:ind w:firstLine="612"/>
        <w:rPr>
          <w:rFonts w:ascii="宋体" w:hAnsi="宋体"/>
          <w:sz w:val="24"/>
          <w:highlight w:val="none"/>
        </w:rPr>
      </w:pPr>
    </w:p>
    <w:p w14:paraId="6FC8B258">
      <w:pPr>
        <w:spacing w:line="360" w:lineRule="auto"/>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p>
    <w:p w14:paraId="0EB81333">
      <w:pPr>
        <w:spacing w:line="360" w:lineRule="auto"/>
        <w:ind w:firstLine="610"/>
        <w:rPr>
          <w:rFonts w:ascii="宋体" w:hAnsi="宋体"/>
          <w:sz w:val="24"/>
          <w:highlight w:val="none"/>
        </w:rPr>
      </w:pPr>
    </w:p>
    <w:p w14:paraId="518D7E49">
      <w:pPr>
        <w:spacing w:line="360" w:lineRule="auto"/>
        <w:ind w:firstLine="610"/>
        <w:rPr>
          <w:rFonts w:hint="eastAsia" w:ascii="宋体" w:hAnsi="宋体"/>
          <w:sz w:val="24"/>
          <w:highlight w:val="none"/>
          <w:u w:val="single"/>
        </w:rPr>
      </w:pPr>
      <w:r>
        <w:rPr>
          <w:rFonts w:hint="eastAsia" w:ascii="宋体" w:hAnsi="宋体"/>
          <w:sz w:val="24"/>
          <w:highlight w:val="none"/>
        </w:rPr>
        <w:t>地</w:t>
      </w:r>
      <w:r>
        <w:rPr>
          <w:rFonts w:ascii="宋体" w:hAnsi="宋体"/>
          <w:sz w:val="24"/>
          <w:highlight w:val="none"/>
        </w:rPr>
        <w:t xml:space="preserve">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p>
    <w:p w14:paraId="65CBD814">
      <w:pPr>
        <w:spacing w:line="360" w:lineRule="auto"/>
        <w:ind w:firstLine="610"/>
        <w:rPr>
          <w:rFonts w:ascii="宋体" w:hAnsi="宋体"/>
          <w:sz w:val="24"/>
          <w:highlight w:val="none"/>
        </w:rPr>
      </w:pPr>
    </w:p>
    <w:p w14:paraId="58B394AB">
      <w:pPr>
        <w:spacing w:line="360" w:lineRule="auto"/>
        <w:ind w:firstLine="610"/>
        <w:rPr>
          <w:rFonts w:ascii="宋体" w:hAnsi="宋体"/>
          <w:sz w:val="24"/>
          <w:highlight w:val="none"/>
        </w:rPr>
      </w:pPr>
      <w:r>
        <w:rPr>
          <w:rFonts w:hint="eastAsia" w:ascii="宋体" w:hAnsi="宋体"/>
          <w:sz w:val="24"/>
          <w:highlight w:val="none"/>
        </w:rPr>
        <w:t>成立时间：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日</w:t>
      </w:r>
    </w:p>
    <w:p w14:paraId="23ACE5AC">
      <w:pPr>
        <w:spacing w:line="360" w:lineRule="auto"/>
        <w:ind w:firstLine="610"/>
        <w:rPr>
          <w:rFonts w:ascii="宋体" w:hAnsi="宋体"/>
          <w:sz w:val="24"/>
          <w:highlight w:val="none"/>
        </w:rPr>
      </w:pPr>
    </w:p>
    <w:p w14:paraId="13427D50">
      <w:pPr>
        <w:spacing w:line="360" w:lineRule="auto"/>
        <w:ind w:firstLine="610"/>
        <w:rPr>
          <w:rFonts w:hint="eastAsia" w:ascii="宋体" w:hAnsi="宋体"/>
          <w:sz w:val="24"/>
          <w:highlight w:val="none"/>
          <w:u w:val="single"/>
        </w:rPr>
      </w:pPr>
      <w:r>
        <w:rPr>
          <w:rFonts w:hint="eastAsia" w:ascii="宋体" w:hAnsi="宋体"/>
          <w:sz w:val="24"/>
          <w:highlight w:val="none"/>
        </w:rPr>
        <w:t>经营期限：</w:t>
      </w:r>
      <w:r>
        <w:rPr>
          <w:rFonts w:hint="eastAsia" w:ascii="宋体" w:hAnsi="宋体"/>
          <w:sz w:val="24"/>
          <w:highlight w:val="none"/>
          <w:u w:val="single"/>
        </w:rPr>
        <w:tab/>
      </w:r>
      <w:r>
        <w:rPr>
          <w:rFonts w:hint="eastAsia" w:ascii="宋体" w:hAnsi="宋体"/>
          <w:sz w:val="24"/>
          <w:highlight w:val="none"/>
          <w:u w:val="single"/>
        </w:rPr>
        <w:t xml:space="preserve">                                                    </w:t>
      </w:r>
    </w:p>
    <w:p w14:paraId="6792F11E">
      <w:pPr>
        <w:spacing w:line="360" w:lineRule="auto"/>
        <w:ind w:firstLine="610"/>
        <w:rPr>
          <w:rFonts w:ascii="宋体" w:hAnsi="宋体"/>
          <w:sz w:val="24"/>
          <w:highlight w:val="none"/>
        </w:rPr>
      </w:pPr>
    </w:p>
    <w:p w14:paraId="3A2E363D">
      <w:pPr>
        <w:spacing w:line="360" w:lineRule="auto"/>
        <w:ind w:firstLine="610"/>
        <w:rPr>
          <w:rFonts w:ascii="宋体" w:hAnsi="宋体"/>
          <w:sz w:val="24"/>
          <w:highlight w:val="none"/>
        </w:rPr>
      </w:pPr>
      <w:r>
        <w:rPr>
          <w:rFonts w:hint="eastAsia" w:ascii="宋体" w:hAnsi="宋体"/>
          <w:sz w:val="24"/>
          <w:highlight w:val="none"/>
        </w:rPr>
        <w:t>姓</w:t>
      </w:r>
      <w:r>
        <w:rPr>
          <w:rFonts w:ascii="宋体" w:hAnsi="宋体"/>
          <w:sz w:val="24"/>
          <w:highlight w:val="none"/>
        </w:rPr>
        <w:t xml:space="preserve">    名：</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 xml:space="preserve"> 性别：</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年龄：</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 xml:space="preserve"> 职务：</w:t>
      </w:r>
      <w:r>
        <w:rPr>
          <w:rFonts w:hint="eastAsia" w:ascii="宋体" w:hAnsi="宋体"/>
          <w:sz w:val="24"/>
          <w:highlight w:val="none"/>
          <w:u w:val="single"/>
        </w:rPr>
        <w:tab/>
      </w:r>
      <w:r>
        <w:rPr>
          <w:rFonts w:hint="eastAsia" w:ascii="宋体" w:hAnsi="宋体"/>
          <w:sz w:val="24"/>
          <w:highlight w:val="none"/>
          <w:u w:val="single"/>
        </w:rPr>
        <w:t xml:space="preserve">         </w:t>
      </w:r>
    </w:p>
    <w:p w14:paraId="5929AEEF">
      <w:pPr>
        <w:spacing w:line="360" w:lineRule="auto"/>
        <w:ind w:firstLine="610"/>
        <w:rPr>
          <w:rFonts w:ascii="宋体" w:hAnsi="宋体"/>
          <w:sz w:val="24"/>
          <w:highlight w:val="none"/>
        </w:rPr>
      </w:pPr>
      <w:r>
        <w:rPr>
          <w:rFonts w:hint="eastAsia" w:ascii="宋体" w:hAnsi="宋体"/>
          <w:sz w:val="24"/>
          <w:highlight w:val="none"/>
        </w:rPr>
        <w:t>系</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的法定代表人。</w:t>
      </w:r>
    </w:p>
    <w:p w14:paraId="1FCA94F7">
      <w:pPr>
        <w:spacing w:line="360" w:lineRule="auto"/>
        <w:ind w:firstLine="610"/>
        <w:rPr>
          <w:rFonts w:ascii="宋体" w:hAnsi="宋体"/>
          <w:sz w:val="24"/>
          <w:highlight w:val="none"/>
        </w:rPr>
      </w:pPr>
    </w:p>
    <w:p w14:paraId="3ABE4DF0">
      <w:pPr>
        <w:spacing w:line="360" w:lineRule="auto"/>
        <w:ind w:firstLine="610"/>
        <w:rPr>
          <w:rFonts w:ascii="宋体" w:hAnsi="宋体"/>
          <w:sz w:val="24"/>
          <w:highlight w:val="none"/>
        </w:rPr>
      </w:pPr>
      <w:r>
        <w:rPr>
          <w:rFonts w:hint="eastAsia" w:ascii="宋体" w:hAnsi="宋体"/>
          <w:sz w:val="24"/>
          <w:highlight w:val="none"/>
        </w:rPr>
        <w:t>特此证明。</w:t>
      </w:r>
    </w:p>
    <w:p w14:paraId="753E8DC8">
      <w:pPr>
        <w:tabs>
          <w:tab w:val="left" w:pos="720"/>
          <w:tab w:val="left" w:pos="900"/>
        </w:tabs>
        <w:spacing w:line="360" w:lineRule="auto"/>
        <w:ind w:firstLine="4560" w:firstLineChars="1900"/>
        <w:rPr>
          <w:rFonts w:ascii="宋体" w:hAnsi="宋体"/>
          <w:sz w:val="24"/>
          <w:highlight w:val="none"/>
        </w:rPr>
      </w:pPr>
    </w:p>
    <w:p w14:paraId="461ED9D2">
      <w:pPr>
        <w:tabs>
          <w:tab w:val="left" w:pos="720"/>
          <w:tab w:val="left" w:pos="900"/>
        </w:tabs>
        <w:spacing w:line="360" w:lineRule="auto"/>
        <w:ind w:firstLine="4560" w:firstLineChars="1900"/>
        <w:rPr>
          <w:rFonts w:ascii="宋体" w:hAnsi="宋体"/>
          <w:sz w:val="24"/>
          <w:highlight w:val="none"/>
        </w:rPr>
      </w:pPr>
    </w:p>
    <w:p w14:paraId="32D650E6">
      <w:pPr>
        <w:tabs>
          <w:tab w:val="left" w:pos="720"/>
          <w:tab w:val="left" w:pos="900"/>
        </w:tabs>
        <w:spacing w:line="360" w:lineRule="auto"/>
        <w:ind w:firstLine="2640" w:firstLineChars="1100"/>
        <w:rPr>
          <w:rFonts w:ascii="宋体" w:hAnsi="宋体"/>
          <w:sz w:val="24"/>
          <w:highlight w:val="none"/>
        </w:rPr>
      </w:pPr>
      <w:r>
        <w:rPr>
          <w:rFonts w:hint="eastAsia" w:ascii="宋体" w:hAnsi="宋体"/>
          <w:sz w:val="24"/>
          <w:highlight w:val="none"/>
        </w:rPr>
        <w:t>投标人：</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（盖</w:t>
      </w:r>
      <w:r>
        <w:rPr>
          <w:rFonts w:hint="eastAsia" w:ascii="宋体" w:hAnsi="宋体"/>
          <w:sz w:val="24"/>
          <w:highlight w:val="none"/>
          <w:u w:val="single"/>
        </w:rPr>
        <w:t>单位章</w:t>
      </w:r>
      <w:r>
        <w:rPr>
          <w:rFonts w:ascii="宋体" w:hAnsi="宋体"/>
          <w:sz w:val="24"/>
          <w:highlight w:val="none"/>
          <w:u w:val="single"/>
        </w:rPr>
        <w:t>）</w:t>
      </w:r>
    </w:p>
    <w:p w14:paraId="3F00C3A7">
      <w:pPr>
        <w:tabs>
          <w:tab w:val="left" w:pos="720"/>
          <w:tab w:val="left" w:pos="900"/>
        </w:tabs>
        <w:spacing w:line="360" w:lineRule="auto"/>
        <w:ind w:firstLine="4080" w:firstLineChars="1700"/>
        <w:rPr>
          <w:rFonts w:hint="eastAsia" w:ascii="宋体" w:hAnsi="宋体"/>
          <w:sz w:val="24"/>
          <w:highlight w:val="none"/>
          <w:u w:val="single"/>
        </w:rPr>
      </w:pPr>
    </w:p>
    <w:p w14:paraId="0FBAED2F">
      <w:pPr>
        <w:tabs>
          <w:tab w:val="left" w:pos="720"/>
          <w:tab w:val="left" w:pos="900"/>
        </w:tabs>
        <w:spacing w:line="360" w:lineRule="auto"/>
        <w:ind w:firstLine="4080" w:firstLineChars="1700"/>
        <w:rPr>
          <w:rFonts w:hint="eastAsia"/>
          <w:highlight w:val="none"/>
        </w:rPr>
      </w:pP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日</w:t>
      </w:r>
    </w:p>
    <w:p w14:paraId="29B36A19">
      <w:pPr>
        <w:rPr>
          <w:rFonts w:hint="eastAsia" w:ascii="宋体" w:hAnsi="宋体" w:cs="宋体"/>
          <w:b/>
          <w:snapToGrid w:val="0"/>
          <w:kern w:val="0"/>
          <w:sz w:val="32"/>
          <w:highlight w:val="none"/>
        </w:rPr>
      </w:pPr>
      <w:r>
        <w:rPr>
          <w:rFonts w:hint="eastAsia" w:ascii="宋体" w:hAnsi="宋体" w:cs="宋体"/>
          <w:b/>
          <w:snapToGrid w:val="0"/>
          <w:kern w:val="0"/>
          <w:sz w:val="32"/>
          <w:highlight w:val="none"/>
        </w:rPr>
        <w:br w:type="page"/>
      </w:r>
    </w:p>
    <w:p w14:paraId="1257A9FD">
      <w:pPr>
        <w:spacing w:line="360" w:lineRule="auto"/>
        <w:jc w:val="center"/>
        <w:rPr>
          <w:rFonts w:hint="eastAsia" w:ascii="宋体" w:hAnsi="宋体" w:cs="宋体"/>
          <w:b/>
          <w:snapToGrid w:val="0"/>
          <w:kern w:val="0"/>
          <w:sz w:val="32"/>
          <w:highlight w:val="none"/>
        </w:rPr>
      </w:pPr>
      <w:r>
        <w:rPr>
          <w:rFonts w:hint="eastAsia" w:ascii="宋体" w:hAnsi="宋体" w:cs="宋体"/>
          <w:b/>
          <w:snapToGrid w:val="0"/>
          <w:kern w:val="0"/>
          <w:sz w:val="32"/>
          <w:highlight w:val="none"/>
        </w:rPr>
        <w:t>三、授权委托书</w:t>
      </w:r>
    </w:p>
    <w:p w14:paraId="111AEC47">
      <w:pPr>
        <w:spacing w:after="156"/>
        <w:rPr>
          <w:rFonts w:hint="eastAsia" w:ascii="宋体" w:hAnsi="宋体"/>
          <w:b/>
          <w:sz w:val="10"/>
          <w:highlight w:val="none"/>
        </w:rPr>
      </w:pPr>
      <w:bookmarkStart w:id="389" w:name="_Toc93404033"/>
      <w:bookmarkStart w:id="390" w:name="_Toc19746"/>
      <w:bookmarkStart w:id="391" w:name="_Toc11044"/>
    </w:p>
    <w:p w14:paraId="41E56291">
      <w:pPr>
        <w:spacing w:line="480" w:lineRule="auto"/>
        <w:ind w:firstLine="480" w:firstLineChars="200"/>
        <w:jc w:val="left"/>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hint="eastAsia" w:ascii="宋体" w:hAnsi="宋体"/>
          <w:sz w:val="24"/>
          <w:highlight w:val="none"/>
        </w:rPr>
        <w:t>系</w:t>
      </w:r>
      <w:r>
        <w:rPr>
          <w:rFonts w:hint="eastAsia" w:ascii="宋体" w:hAnsi="宋体"/>
          <w:sz w:val="24"/>
          <w:highlight w:val="none"/>
          <w:u w:val="single"/>
        </w:rPr>
        <w:t xml:space="preserve">                   </w:t>
      </w:r>
      <w:r>
        <w:rPr>
          <w:rFonts w:hint="eastAsia" w:ascii="宋体" w:hAnsi="宋体"/>
          <w:sz w:val="24"/>
          <w:highlight w:val="none"/>
        </w:rPr>
        <w:t>的法定代表人，现委托</w:t>
      </w:r>
      <w:r>
        <w:rPr>
          <w:rFonts w:hint="eastAsia" w:ascii="宋体" w:hAnsi="宋体"/>
          <w:sz w:val="24"/>
          <w:highlight w:val="none"/>
          <w:u w:val="single"/>
        </w:rPr>
        <w:t xml:space="preserve">       </w:t>
      </w:r>
      <w:r>
        <w:rPr>
          <w:rFonts w:hint="eastAsia" w:ascii="宋体" w:hAnsi="宋体"/>
          <w:sz w:val="24"/>
          <w:highlight w:val="none"/>
        </w:rPr>
        <w:t>为我方代理人。代理人根据授权，以我方名义签署、澄清、说明、补正、递交、撤回、修改</w:t>
      </w:r>
      <w:r>
        <w:rPr>
          <w:rFonts w:hint="eastAsia" w:ascii="宋体" w:hAnsi="宋体"/>
          <w:sz w:val="24"/>
          <w:highlight w:val="none"/>
          <w:u w:val="single"/>
        </w:rPr>
        <w:t xml:space="preserve">               </w:t>
      </w:r>
      <w:r>
        <w:rPr>
          <w:rFonts w:hint="eastAsia" w:ascii="宋体" w:hAnsi="宋体"/>
          <w:sz w:val="24"/>
          <w:highlight w:val="none"/>
        </w:rPr>
        <w:t>工程施工投标文件、签订合同和处理有关事宜，其法律后果由我方承担。</w:t>
      </w:r>
    </w:p>
    <w:p w14:paraId="2DB5800A">
      <w:pPr>
        <w:spacing w:line="480" w:lineRule="auto"/>
        <w:ind w:firstLine="480" w:firstLineChars="200"/>
        <w:rPr>
          <w:rFonts w:hint="eastAsia" w:ascii="宋体" w:hAnsi="宋体"/>
          <w:sz w:val="24"/>
          <w:highlight w:val="none"/>
        </w:rPr>
      </w:pPr>
      <w:r>
        <w:rPr>
          <w:rFonts w:hint="eastAsia" w:ascii="宋体" w:hAnsi="宋体"/>
          <w:sz w:val="24"/>
          <w:highlight w:val="none"/>
        </w:rPr>
        <w:t>委托期限：</w:t>
      </w:r>
      <w:r>
        <w:rPr>
          <w:rFonts w:hint="eastAsia" w:ascii="宋体" w:hAnsi="宋体"/>
          <w:sz w:val="24"/>
          <w:highlight w:val="none"/>
          <w:u w:val="single"/>
        </w:rPr>
        <w:t xml:space="preserve">                                </w:t>
      </w:r>
    </w:p>
    <w:p w14:paraId="4193FBFD">
      <w:pPr>
        <w:spacing w:line="480" w:lineRule="auto"/>
        <w:ind w:firstLine="480" w:firstLineChars="200"/>
        <w:rPr>
          <w:rFonts w:hint="eastAsia" w:ascii="宋体" w:hAnsi="宋体"/>
          <w:sz w:val="24"/>
          <w:highlight w:val="none"/>
        </w:rPr>
      </w:pPr>
      <w:r>
        <w:rPr>
          <w:rFonts w:hint="eastAsia" w:ascii="宋体" w:hAnsi="宋体"/>
          <w:sz w:val="24"/>
          <w:highlight w:val="none"/>
        </w:rPr>
        <w:t>代理人无转委托权。</w:t>
      </w:r>
    </w:p>
    <w:p w14:paraId="17FA97D9">
      <w:pPr>
        <w:spacing w:line="480" w:lineRule="auto"/>
        <w:ind w:firstLine="480" w:firstLineChars="200"/>
        <w:rPr>
          <w:rFonts w:ascii="宋体" w:hAnsi="宋体"/>
          <w:sz w:val="24"/>
          <w:highlight w:val="none"/>
        </w:rPr>
      </w:pPr>
      <w:r>
        <w:rPr>
          <w:rFonts w:hint="eastAsia" w:ascii="宋体" w:hAnsi="宋体"/>
          <w:sz w:val="24"/>
          <w:highlight w:val="none"/>
        </w:rPr>
        <w:t>附：法定代表人身份证明</w:t>
      </w:r>
    </w:p>
    <w:p w14:paraId="31DB4946">
      <w:pPr>
        <w:spacing w:line="360" w:lineRule="auto"/>
        <w:ind w:firstLine="480" w:firstLineChars="200"/>
        <w:rPr>
          <w:rFonts w:hint="eastAsia" w:ascii="宋体" w:hAnsi="宋体"/>
          <w:sz w:val="24"/>
          <w:highlight w:val="none"/>
        </w:rPr>
      </w:pPr>
    </w:p>
    <w:p w14:paraId="2A031D51">
      <w:pPr>
        <w:spacing w:line="360" w:lineRule="auto"/>
        <w:ind w:firstLine="480" w:firstLineChars="200"/>
        <w:rPr>
          <w:rFonts w:hint="eastAsia" w:ascii="宋体" w:hAnsi="宋体"/>
          <w:sz w:val="24"/>
          <w:highlight w:val="none"/>
        </w:rPr>
      </w:pPr>
    </w:p>
    <w:p w14:paraId="028AC15D">
      <w:pPr>
        <w:spacing w:line="360" w:lineRule="auto"/>
        <w:ind w:firstLine="480" w:firstLineChars="200"/>
        <w:rPr>
          <w:rFonts w:hint="eastAsia" w:ascii="宋体" w:hAnsi="宋体"/>
          <w:sz w:val="24"/>
          <w:highlight w:val="none"/>
        </w:rPr>
      </w:pPr>
    </w:p>
    <w:p w14:paraId="6B146AE3">
      <w:pPr>
        <w:spacing w:line="360" w:lineRule="auto"/>
        <w:ind w:firstLine="3480" w:firstLineChars="1450"/>
        <w:rPr>
          <w:rFonts w:ascii="宋体" w:hAnsi="宋体"/>
          <w:sz w:val="24"/>
          <w:highlight w:val="none"/>
        </w:rPr>
      </w:pPr>
      <w:r>
        <w:rPr>
          <w:rFonts w:hint="eastAsia" w:ascii="宋体" w:hAnsi="宋体"/>
          <w:sz w:val="24"/>
          <w:highlight w:val="none"/>
        </w:rPr>
        <w:t>投标人：</w:t>
      </w:r>
      <w:r>
        <w:rPr>
          <w:rFonts w:hint="eastAsia" w:ascii="宋体" w:hAnsi="宋体"/>
          <w:sz w:val="24"/>
          <w:highlight w:val="none"/>
          <w:u w:val="single"/>
        </w:rPr>
        <w:t xml:space="preserve">                        </w:t>
      </w:r>
      <w:r>
        <w:rPr>
          <w:rFonts w:hint="eastAsia" w:ascii="宋体" w:hAnsi="宋体"/>
          <w:sz w:val="24"/>
          <w:highlight w:val="none"/>
        </w:rPr>
        <w:t>（盖单位章）</w:t>
      </w:r>
    </w:p>
    <w:p w14:paraId="17931392">
      <w:pPr>
        <w:spacing w:line="360" w:lineRule="auto"/>
        <w:ind w:firstLine="480" w:firstLineChars="200"/>
        <w:rPr>
          <w:rFonts w:ascii="宋体" w:hAnsi="宋体"/>
          <w:sz w:val="24"/>
          <w:highlight w:val="none"/>
        </w:rPr>
      </w:pPr>
    </w:p>
    <w:p w14:paraId="248BC8A5">
      <w:pPr>
        <w:spacing w:line="360" w:lineRule="auto"/>
        <w:ind w:firstLine="3480" w:firstLineChars="1450"/>
        <w:rPr>
          <w:rFonts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w:t>
      </w:r>
    </w:p>
    <w:p w14:paraId="461285DD">
      <w:pPr>
        <w:spacing w:line="360" w:lineRule="auto"/>
        <w:ind w:firstLine="480" w:firstLineChars="200"/>
        <w:rPr>
          <w:rFonts w:ascii="宋体" w:hAnsi="宋体"/>
          <w:sz w:val="24"/>
          <w:highlight w:val="none"/>
        </w:rPr>
      </w:pPr>
    </w:p>
    <w:p w14:paraId="1B56BD49">
      <w:pPr>
        <w:spacing w:line="360" w:lineRule="auto"/>
        <w:ind w:firstLine="3480" w:firstLineChars="1450"/>
        <w:rPr>
          <w:rFonts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78E38EB0">
      <w:pPr>
        <w:spacing w:line="360" w:lineRule="auto"/>
        <w:ind w:firstLine="480" w:firstLineChars="200"/>
        <w:rPr>
          <w:rFonts w:hint="eastAsia" w:ascii="宋体" w:hAnsi="宋体"/>
          <w:sz w:val="24"/>
          <w:highlight w:val="none"/>
        </w:rPr>
      </w:pPr>
    </w:p>
    <w:p w14:paraId="44A96E7E">
      <w:pPr>
        <w:spacing w:line="360" w:lineRule="auto"/>
        <w:ind w:firstLine="3480" w:firstLineChars="1450"/>
        <w:rPr>
          <w:rFonts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13761882">
      <w:pPr>
        <w:spacing w:line="360" w:lineRule="auto"/>
        <w:ind w:firstLine="480" w:firstLineChars="200"/>
        <w:rPr>
          <w:rFonts w:ascii="宋体" w:hAnsi="宋体"/>
          <w:sz w:val="24"/>
          <w:highlight w:val="none"/>
        </w:rPr>
      </w:pPr>
    </w:p>
    <w:p w14:paraId="671B237B">
      <w:pPr>
        <w:spacing w:line="36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34FD9788">
      <w:pPr>
        <w:spacing w:line="360" w:lineRule="auto"/>
        <w:ind w:firstLine="6120" w:firstLineChars="2550"/>
        <w:rPr>
          <w:rFonts w:hint="eastAsia" w:ascii="宋体" w:hAnsi="宋体"/>
          <w:sz w:val="24"/>
          <w:highlight w:val="none"/>
        </w:rPr>
      </w:pPr>
    </w:p>
    <w:p w14:paraId="2F381731">
      <w:pPr>
        <w:spacing w:line="360" w:lineRule="auto"/>
        <w:ind w:firstLine="5160" w:firstLineChars="2150"/>
        <w:rPr>
          <w:rFonts w:hint="eastAsia" w:ascii="宋体" w:hAnsi="宋体"/>
          <w:sz w:val="24"/>
          <w:highlight w:val="none"/>
        </w:rPr>
      </w:pP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2B7B091A">
      <w:pPr>
        <w:rPr>
          <w:rFonts w:hint="eastAsia" w:ascii="宋体" w:hAnsi="宋体" w:cs="宋体"/>
          <w:b/>
          <w:snapToGrid w:val="0"/>
          <w:kern w:val="0"/>
          <w:sz w:val="32"/>
          <w:highlight w:val="none"/>
        </w:rPr>
      </w:pPr>
      <w:r>
        <w:rPr>
          <w:rFonts w:hint="eastAsia" w:ascii="宋体" w:hAnsi="宋体" w:cs="宋体"/>
          <w:b/>
          <w:snapToGrid w:val="0"/>
          <w:kern w:val="0"/>
          <w:sz w:val="32"/>
          <w:highlight w:val="none"/>
        </w:rPr>
        <w:br w:type="page"/>
      </w:r>
    </w:p>
    <w:p w14:paraId="2BC0440F">
      <w:pPr>
        <w:spacing w:line="360" w:lineRule="auto"/>
        <w:jc w:val="center"/>
        <w:outlineLvl w:val="2"/>
        <w:rPr>
          <w:rFonts w:hint="eastAsia" w:ascii="宋体" w:hAnsi="宋体" w:eastAsia="宋体" w:cs="宋体"/>
          <w:b/>
          <w:snapToGrid w:val="0"/>
          <w:kern w:val="0"/>
          <w:sz w:val="32"/>
          <w:highlight w:val="none"/>
          <w:lang w:eastAsia="zh-CN"/>
        </w:rPr>
      </w:pPr>
      <w:r>
        <w:rPr>
          <w:rFonts w:hint="eastAsia" w:ascii="宋体" w:hAnsi="宋体" w:cs="宋体"/>
          <w:b/>
          <w:snapToGrid w:val="0"/>
          <w:kern w:val="0"/>
          <w:sz w:val="32"/>
          <w:highlight w:val="none"/>
        </w:rPr>
        <w:t>四、联合体协议书</w:t>
      </w:r>
      <w:bookmarkEnd w:id="389"/>
      <w:bookmarkEnd w:id="390"/>
      <w:bookmarkEnd w:id="391"/>
      <w:r>
        <w:rPr>
          <w:rFonts w:hint="eastAsia" w:ascii="宋体" w:hAnsi="宋体" w:cs="宋体"/>
          <w:b/>
          <w:snapToGrid w:val="0"/>
          <w:kern w:val="0"/>
          <w:sz w:val="32"/>
          <w:highlight w:val="none"/>
          <w:lang w:eastAsia="zh-CN"/>
        </w:rPr>
        <w:t>（</w:t>
      </w:r>
      <w:r>
        <w:rPr>
          <w:rFonts w:hint="eastAsia" w:ascii="宋体" w:hAnsi="宋体" w:cs="宋体"/>
          <w:b/>
          <w:snapToGrid w:val="0"/>
          <w:kern w:val="0"/>
          <w:sz w:val="32"/>
          <w:highlight w:val="none"/>
          <w:lang w:val="en-US" w:eastAsia="zh-CN"/>
        </w:rPr>
        <w:t>如有</w:t>
      </w:r>
      <w:r>
        <w:rPr>
          <w:rFonts w:hint="eastAsia" w:ascii="宋体" w:hAnsi="宋体" w:cs="宋体"/>
          <w:b/>
          <w:snapToGrid w:val="0"/>
          <w:kern w:val="0"/>
          <w:sz w:val="32"/>
          <w:highlight w:val="none"/>
          <w:lang w:eastAsia="zh-CN"/>
        </w:rPr>
        <w:t>）</w:t>
      </w:r>
    </w:p>
    <w:p w14:paraId="09FFB6E3">
      <w:pPr>
        <w:spacing w:line="360" w:lineRule="auto"/>
        <w:ind w:firstLine="420" w:firstLineChars="200"/>
        <w:jc w:val="left"/>
        <w:rPr>
          <w:rFonts w:hint="eastAsia" w:ascii="宋体" w:hAnsi="宋体" w:cs="宋体"/>
          <w:snapToGrid w:val="0"/>
          <w:kern w:val="0"/>
          <w:highlight w:val="none"/>
        </w:rPr>
      </w:pPr>
    </w:p>
    <w:p w14:paraId="3217E839">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_______（所有成员单位名称）自愿组成______（联合体名称）联合体，共同参加_____（项目名称）</w:t>
      </w:r>
      <w:r>
        <w:rPr>
          <w:rFonts w:hint="eastAsia" w:ascii="宋体" w:hAnsi="宋体" w:cs="宋体"/>
          <w:szCs w:val="21"/>
          <w:highlight w:val="none"/>
        </w:rPr>
        <w:t>全过程工程咨询服务</w:t>
      </w:r>
      <w:r>
        <w:rPr>
          <w:rFonts w:hint="eastAsia" w:ascii="宋体" w:hAnsi="宋体" w:cs="宋体"/>
          <w:snapToGrid w:val="0"/>
          <w:kern w:val="0"/>
          <w:highlight w:val="none"/>
        </w:rPr>
        <w:t>投标。现就联合体投标事宜订立如下协议。</w:t>
      </w:r>
    </w:p>
    <w:p w14:paraId="5A34B0AA">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1、_______（某成员单位名称）为_____（联合体名称）牵头方。</w:t>
      </w:r>
    </w:p>
    <w:p w14:paraId="326A616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联合体牵头方合法代表联合体各成员负责本招标项目投标文件编制和合同谈判活动，并代表联合体提交和接收相关的资料、信息及指示，并处理与之有关的一切事务，负责合同实施阶段的主办、组织和协调工作。</w:t>
      </w:r>
    </w:p>
    <w:p w14:paraId="362822C8">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3、联合体将严格按照招标文件的各项要求，递交投标文件，履行合同，并对外承担连带责任。</w:t>
      </w:r>
    </w:p>
    <w:p w14:paraId="3CCB357D">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4、联合体各成员单位内部的职责分工如下：_________________。</w:t>
      </w:r>
    </w:p>
    <w:p w14:paraId="5ACFC64A">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5、本协议书自签署之日起生效，合同履行完毕后自动失效。</w:t>
      </w:r>
    </w:p>
    <w:p w14:paraId="6FF6E277">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6、本协议书一式___份，联合体成员和招标人各执一份。</w:t>
      </w:r>
    </w:p>
    <w:p w14:paraId="6D5AEA69">
      <w:pPr>
        <w:spacing w:line="360" w:lineRule="auto"/>
        <w:ind w:firstLine="420" w:firstLineChars="200"/>
        <w:jc w:val="left"/>
        <w:rPr>
          <w:rFonts w:hint="eastAsia" w:ascii="宋体" w:hAnsi="宋体" w:cs="宋体"/>
          <w:snapToGrid w:val="0"/>
          <w:kern w:val="0"/>
          <w:highlight w:val="none"/>
        </w:rPr>
      </w:pPr>
    </w:p>
    <w:p w14:paraId="53DFAFA9">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注：本协议书由委托代理人签字的，应附法定代表人签字的授权委托书。</w:t>
      </w:r>
    </w:p>
    <w:p w14:paraId="4762C76D">
      <w:pPr>
        <w:spacing w:line="360" w:lineRule="auto"/>
        <w:ind w:firstLine="420" w:firstLineChars="200"/>
        <w:jc w:val="left"/>
        <w:rPr>
          <w:rFonts w:hint="eastAsia" w:ascii="宋体" w:hAnsi="宋体" w:cs="宋体"/>
          <w:snapToGrid w:val="0"/>
          <w:kern w:val="0"/>
          <w:highlight w:val="none"/>
        </w:rPr>
      </w:pPr>
    </w:p>
    <w:p w14:paraId="3389830E">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牵头方名称：_________________________________（盖单位章）</w:t>
      </w:r>
    </w:p>
    <w:p w14:paraId="3D757D7D">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5F5BF03C">
      <w:pPr>
        <w:spacing w:line="360" w:lineRule="auto"/>
        <w:ind w:firstLine="420" w:firstLineChars="200"/>
        <w:jc w:val="left"/>
        <w:rPr>
          <w:rFonts w:hint="eastAsia" w:ascii="宋体" w:hAnsi="宋体" w:cs="宋体"/>
          <w:snapToGrid w:val="0"/>
          <w:kern w:val="0"/>
          <w:highlight w:val="none"/>
        </w:rPr>
      </w:pPr>
    </w:p>
    <w:p w14:paraId="651C271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成员一名称：_________________________________（盖单位章）</w:t>
      </w:r>
    </w:p>
    <w:p w14:paraId="04151393">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379C9CEF">
      <w:pPr>
        <w:spacing w:line="360" w:lineRule="auto"/>
        <w:ind w:firstLine="420" w:firstLineChars="200"/>
        <w:jc w:val="left"/>
        <w:rPr>
          <w:rFonts w:hint="eastAsia" w:ascii="宋体" w:hAnsi="宋体" w:cs="宋体"/>
          <w:snapToGrid w:val="0"/>
          <w:kern w:val="0"/>
          <w:highlight w:val="none"/>
        </w:rPr>
      </w:pPr>
    </w:p>
    <w:p w14:paraId="0E3D4EF3">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成员二名称：_________________________________（盖单位章）</w:t>
      </w:r>
    </w:p>
    <w:p w14:paraId="610A76C0">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697A7F9C">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w:t>
      </w:r>
    </w:p>
    <w:p w14:paraId="1B7E780A">
      <w:pPr>
        <w:spacing w:line="360" w:lineRule="auto"/>
        <w:ind w:firstLine="420" w:firstLineChars="200"/>
        <w:jc w:val="left"/>
        <w:rPr>
          <w:rFonts w:hint="eastAsia" w:ascii="宋体" w:hAnsi="宋体" w:cs="宋体"/>
          <w:snapToGrid w:val="0"/>
          <w:kern w:val="0"/>
          <w:highlight w:val="none"/>
        </w:rPr>
      </w:pPr>
    </w:p>
    <w:p w14:paraId="5DCFCE7B">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________年_______月_______日</w:t>
      </w:r>
    </w:p>
    <w:p w14:paraId="08311D07">
      <w:pPr>
        <w:widowControl/>
        <w:jc w:val="left"/>
        <w:rPr>
          <w:rFonts w:hint="eastAsia" w:ascii="宋体" w:hAnsi="宋体" w:cs="宋体"/>
          <w:snapToGrid w:val="0"/>
          <w:kern w:val="0"/>
          <w:highlight w:val="none"/>
        </w:rPr>
      </w:pPr>
      <w:r>
        <w:rPr>
          <w:rFonts w:hint="eastAsia" w:ascii="宋体" w:hAnsi="宋体" w:cs="宋体"/>
          <w:snapToGrid w:val="0"/>
          <w:kern w:val="0"/>
          <w:highlight w:val="none"/>
        </w:rPr>
        <w:br w:type="page"/>
      </w:r>
    </w:p>
    <w:p w14:paraId="5F334EF0">
      <w:pPr>
        <w:spacing w:line="360" w:lineRule="auto"/>
        <w:jc w:val="center"/>
        <w:outlineLvl w:val="2"/>
        <w:rPr>
          <w:rFonts w:hint="eastAsia" w:ascii="宋体" w:hAnsi="宋体" w:cs="宋体"/>
          <w:b/>
          <w:snapToGrid w:val="0"/>
          <w:kern w:val="0"/>
          <w:sz w:val="32"/>
          <w:highlight w:val="none"/>
        </w:rPr>
      </w:pPr>
      <w:bookmarkStart w:id="392" w:name="_Toc31762"/>
      <w:bookmarkStart w:id="393" w:name="_Toc93404034"/>
      <w:bookmarkStart w:id="394" w:name="_Toc12560"/>
      <w:r>
        <w:rPr>
          <w:rFonts w:hint="eastAsia" w:ascii="宋体" w:hAnsi="宋体" w:cs="宋体"/>
          <w:b/>
          <w:snapToGrid w:val="0"/>
          <w:kern w:val="0"/>
          <w:sz w:val="32"/>
          <w:highlight w:val="none"/>
        </w:rPr>
        <w:t>五、投标保证金</w:t>
      </w:r>
      <w:bookmarkEnd w:id="392"/>
      <w:bookmarkEnd w:id="393"/>
      <w:bookmarkEnd w:id="394"/>
    </w:p>
    <w:p w14:paraId="4E682C45">
      <w:pPr>
        <w:jc w:val="left"/>
        <w:rPr>
          <w:rFonts w:hint="eastAsia" w:ascii="宋体" w:hAnsi="宋体" w:cs="宋体"/>
          <w:b/>
          <w:bCs/>
          <w:highlight w:val="none"/>
        </w:rPr>
      </w:pPr>
    </w:p>
    <w:p w14:paraId="32E550B8">
      <w:pPr>
        <w:jc w:val="center"/>
        <w:rPr>
          <w:rFonts w:hint="eastAsia" w:ascii="宋体" w:hAnsi="宋体" w:cs="宋体"/>
          <w:highlight w:val="none"/>
        </w:rPr>
      </w:pPr>
      <w:r>
        <w:rPr>
          <w:rFonts w:hint="eastAsia" w:ascii="宋体" w:hAnsi="宋体" w:cs="宋体"/>
          <w:szCs w:val="21"/>
          <w:highlight w:val="none"/>
          <w:lang w:val="en-US" w:eastAsia="zh-CN"/>
        </w:rPr>
        <w:t>附投标保证金转账证明并加盖公章</w:t>
      </w:r>
      <w:r>
        <w:rPr>
          <w:rFonts w:hint="eastAsia" w:ascii="宋体" w:hAnsi="宋体" w:cs="宋体"/>
          <w:highlight w:val="none"/>
        </w:rPr>
        <w:br w:type="page"/>
      </w:r>
    </w:p>
    <w:p w14:paraId="225664EF">
      <w:pPr>
        <w:spacing w:line="360" w:lineRule="auto"/>
        <w:jc w:val="center"/>
        <w:outlineLvl w:val="2"/>
        <w:rPr>
          <w:rFonts w:hint="eastAsia" w:ascii="宋体" w:hAnsi="宋体" w:cs="宋体"/>
          <w:b/>
          <w:snapToGrid w:val="0"/>
          <w:kern w:val="0"/>
          <w:sz w:val="32"/>
          <w:highlight w:val="none"/>
        </w:rPr>
      </w:pPr>
      <w:bookmarkStart w:id="395" w:name="_Toc27591"/>
      <w:bookmarkStart w:id="396" w:name="_Toc93404035"/>
      <w:bookmarkStart w:id="397" w:name="_Toc25928"/>
      <w:r>
        <w:rPr>
          <w:rFonts w:hint="eastAsia" w:ascii="宋体" w:hAnsi="宋体" w:cs="宋体"/>
          <w:b/>
          <w:snapToGrid w:val="0"/>
          <w:kern w:val="0"/>
          <w:sz w:val="32"/>
          <w:highlight w:val="none"/>
        </w:rPr>
        <w:t>六、投标人基本情况表</w:t>
      </w:r>
      <w:bookmarkEnd w:id="395"/>
      <w:bookmarkEnd w:id="396"/>
      <w:bookmarkEnd w:id="397"/>
    </w:p>
    <w:p w14:paraId="676AE03E">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1415"/>
        <w:gridCol w:w="2006"/>
        <w:gridCol w:w="1559"/>
        <w:gridCol w:w="949"/>
        <w:gridCol w:w="1709"/>
      </w:tblGrid>
      <w:tr w14:paraId="154F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0A2985F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投标人名称</w:t>
            </w:r>
          </w:p>
        </w:tc>
        <w:tc>
          <w:tcPr>
            <w:tcW w:w="7638" w:type="dxa"/>
            <w:gridSpan w:val="5"/>
          </w:tcPr>
          <w:p w14:paraId="760412BD">
            <w:pPr>
              <w:topLinePunct/>
              <w:spacing w:line="360" w:lineRule="auto"/>
              <w:jc w:val="left"/>
              <w:rPr>
                <w:rFonts w:hint="eastAsia" w:ascii="宋体" w:hAnsi="宋体" w:cs="宋体"/>
                <w:snapToGrid w:val="0"/>
                <w:kern w:val="0"/>
                <w:szCs w:val="21"/>
                <w:highlight w:val="none"/>
              </w:rPr>
            </w:pPr>
          </w:p>
        </w:tc>
      </w:tr>
      <w:tr w14:paraId="24261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324F0DD3">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详细地址</w:t>
            </w:r>
          </w:p>
        </w:tc>
        <w:tc>
          <w:tcPr>
            <w:tcW w:w="7638" w:type="dxa"/>
            <w:gridSpan w:val="5"/>
          </w:tcPr>
          <w:p w14:paraId="1DD2341E">
            <w:pPr>
              <w:topLinePunct/>
              <w:spacing w:line="360" w:lineRule="auto"/>
              <w:jc w:val="left"/>
              <w:rPr>
                <w:rFonts w:hint="eastAsia" w:ascii="宋体" w:hAnsi="宋体" w:cs="宋体"/>
                <w:snapToGrid w:val="0"/>
                <w:kern w:val="0"/>
                <w:szCs w:val="21"/>
                <w:highlight w:val="none"/>
              </w:rPr>
            </w:pPr>
          </w:p>
        </w:tc>
      </w:tr>
      <w:tr w14:paraId="547F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6509E8F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法定代表人</w:t>
            </w:r>
          </w:p>
        </w:tc>
        <w:tc>
          <w:tcPr>
            <w:tcW w:w="1415" w:type="dxa"/>
          </w:tcPr>
          <w:p w14:paraId="483B9A28">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2006" w:type="dxa"/>
          </w:tcPr>
          <w:p w14:paraId="3195DA7B">
            <w:pPr>
              <w:topLinePunct/>
              <w:spacing w:line="360" w:lineRule="auto"/>
              <w:jc w:val="left"/>
              <w:rPr>
                <w:rFonts w:hint="eastAsia" w:ascii="宋体" w:hAnsi="宋体" w:cs="宋体"/>
                <w:snapToGrid w:val="0"/>
                <w:kern w:val="0"/>
                <w:szCs w:val="21"/>
                <w:highlight w:val="none"/>
              </w:rPr>
            </w:pPr>
          </w:p>
        </w:tc>
        <w:tc>
          <w:tcPr>
            <w:tcW w:w="1559" w:type="dxa"/>
          </w:tcPr>
          <w:p w14:paraId="5CEB746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技术负责人</w:t>
            </w:r>
          </w:p>
        </w:tc>
        <w:tc>
          <w:tcPr>
            <w:tcW w:w="949" w:type="dxa"/>
          </w:tcPr>
          <w:p w14:paraId="4FDC82F5">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709" w:type="dxa"/>
          </w:tcPr>
          <w:p w14:paraId="5998C30D">
            <w:pPr>
              <w:topLinePunct/>
              <w:spacing w:line="360" w:lineRule="auto"/>
              <w:jc w:val="left"/>
              <w:rPr>
                <w:rFonts w:hint="eastAsia" w:ascii="宋体" w:hAnsi="宋体" w:cs="宋体"/>
                <w:snapToGrid w:val="0"/>
                <w:kern w:val="0"/>
                <w:szCs w:val="21"/>
                <w:highlight w:val="none"/>
              </w:rPr>
            </w:pPr>
          </w:p>
        </w:tc>
      </w:tr>
      <w:tr w14:paraId="7CEF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3F1A43D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在宁分支机构（如设立）</w:t>
            </w:r>
          </w:p>
          <w:p w14:paraId="6DA95CB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联系方式</w:t>
            </w:r>
          </w:p>
        </w:tc>
        <w:tc>
          <w:tcPr>
            <w:tcW w:w="1415" w:type="dxa"/>
          </w:tcPr>
          <w:p w14:paraId="155752A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负责人</w:t>
            </w:r>
          </w:p>
        </w:tc>
        <w:tc>
          <w:tcPr>
            <w:tcW w:w="2006" w:type="dxa"/>
          </w:tcPr>
          <w:p w14:paraId="520B30C7">
            <w:pPr>
              <w:topLinePunct/>
              <w:spacing w:line="360" w:lineRule="auto"/>
              <w:jc w:val="left"/>
              <w:rPr>
                <w:rFonts w:hint="eastAsia" w:ascii="宋体" w:hAnsi="宋体" w:cs="宋体"/>
                <w:snapToGrid w:val="0"/>
                <w:kern w:val="0"/>
                <w:szCs w:val="21"/>
                <w:highlight w:val="none"/>
              </w:rPr>
            </w:pPr>
          </w:p>
        </w:tc>
        <w:tc>
          <w:tcPr>
            <w:tcW w:w="1559" w:type="dxa"/>
          </w:tcPr>
          <w:p w14:paraId="125B272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电  话</w:t>
            </w:r>
          </w:p>
        </w:tc>
        <w:tc>
          <w:tcPr>
            <w:tcW w:w="2658" w:type="dxa"/>
            <w:gridSpan w:val="2"/>
          </w:tcPr>
          <w:p w14:paraId="4DF9A303">
            <w:pPr>
              <w:topLinePunct/>
              <w:spacing w:line="360" w:lineRule="auto"/>
              <w:jc w:val="left"/>
              <w:rPr>
                <w:rFonts w:hint="eastAsia" w:ascii="宋体" w:hAnsi="宋体" w:cs="宋体"/>
                <w:snapToGrid w:val="0"/>
                <w:kern w:val="0"/>
                <w:szCs w:val="21"/>
                <w:highlight w:val="none"/>
              </w:rPr>
            </w:pPr>
          </w:p>
        </w:tc>
      </w:tr>
      <w:tr w14:paraId="42DEF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0CC76613">
            <w:pPr>
              <w:topLinePunct/>
              <w:spacing w:line="360" w:lineRule="auto"/>
              <w:jc w:val="left"/>
              <w:rPr>
                <w:rFonts w:hint="eastAsia" w:ascii="宋体" w:hAnsi="宋体" w:cs="宋体"/>
                <w:snapToGrid w:val="0"/>
                <w:kern w:val="0"/>
                <w:szCs w:val="21"/>
                <w:highlight w:val="none"/>
              </w:rPr>
            </w:pPr>
          </w:p>
        </w:tc>
        <w:tc>
          <w:tcPr>
            <w:tcW w:w="1415" w:type="dxa"/>
          </w:tcPr>
          <w:p w14:paraId="58A39FC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地  址</w:t>
            </w:r>
          </w:p>
        </w:tc>
        <w:tc>
          <w:tcPr>
            <w:tcW w:w="2006" w:type="dxa"/>
          </w:tcPr>
          <w:p w14:paraId="1835439A">
            <w:pPr>
              <w:topLinePunct/>
              <w:spacing w:line="360" w:lineRule="auto"/>
              <w:jc w:val="left"/>
              <w:rPr>
                <w:rFonts w:hint="eastAsia" w:ascii="宋体" w:hAnsi="宋体" w:cs="宋体"/>
                <w:snapToGrid w:val="0"/>
                <w:kern w:val="0"/>
                <w:szCs w:val="21"/>
                <w:highlight w:val="none"/>
              </w:rPr>
            </w:pPr>
          </w:p>
        </w:tc>
        <w:tc>
          <w:tcPr>
            <w:tcW w:w="1559" w:type="dxa"/>
          </w:tcPr>
          <w:p w14:paraId="4E6F2829">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传  真</w:t>
            </w:r>
          </w:p>
        </w:tc>
        <w:tc>
          <w:tcPr>
            <w:tcW w:w="2658" w:type="dxa"/>
            <w:gridSpan w:val="2"/>
          </w:tcPr>
          <w:p w14:paraId="19649619">
            <w:pPr>
              <w:topLinePunct/>
              <w:spacing w:line="360" w:lineRule="auto"/>
              <w:jc w:val="left"/>
              <w:rPr>
                <w:rFonts w:hint="eastAsia" w:ascii="宋体" w:hAnsi="宋体" w:cs="宋体"/>
                <w:snapToGrid w:val="0"/>
                <w:kern w:val="0"/>
                <w:szCs w:val="21"/>
                <w:highlight w:val="none"/>
              </w:rPr>
            </w:pPr>
          </w:p>
        </w:tc>
      </w:tr>
      <w:tr w14:paraId="0D9D0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7DE1EE1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联系方式</w:t>
            </w:r>
          </w:p>
        </w:tc>
        <w:tc>
          <w:tcPr>
            <w:tcW w:w="1415" w:type="dxa"/>
          </w:tcPr>
          <w:p w14:paraId="5F76F6D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w:t>
            </w:r>
          </w:p>
        </w:tc>
        <w:tc>
          <w:tcPr>
            <w:tcW w:w="2006" w:type="dxa"/>
          </w:tcPr>
          <w:p w14:paraId="71E868E6">
            <w:pPr>
              <w:topLinePunct/>
              <w:spacing w:line="360" w:lineRule="auto"/>
              <w:jc w:val="left"/>
              <w:rPr>
                <w:rFonts w:hint="eastAsia" w:ascii="宋体" w:hAnsi="宋体" w:cs="宋体"/>
                <w:snapToGrid w:val="0"/>
                <w:kern w:val="0"/>
                <w:szCs w:val="21"/>
                <w:highlight w:val="none"/>
              </w:rPr>
            </w:pPr>
          </w:p>
        </w:tc>
        <w:tc>
          <w:tcPr>
            <w:tcW w:w="1559" w:type="dxa"/>
          </w:tcPr>
          <w:p w14:paraId="7C0D34BD">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电话</w:t>
            </w:r>
          </w:p>
        </w:tc>
        <w:tc>
          <w:tcPr>
            <w:tcW w:w="2658" w:type="dxa"/>
            <w:gridSpan w:val="2"/>
          </w:tcPr>
          <w:p w14:paraId="21AD3A29">
            <w:pPr>
              <w:topLinePunct/>
              <w:spacing w:line="360" w:lineRule="auto"/>
              <w:jc w:val="left"/>
              <w:rPr>
                <w:rFonts w:hint="eastAsia" w:ascii="宋体" w:hAnsi="宋体" w:cs="宋体"/>
                <w:snapToGrid w:val="0"/>
                <w:kern w:val="0"/>
                <w:szCs w:val="21"/>
                <w:highlight w:val="none"/>
              </w:rPr>
            </w:pPr>
          </w:p>
        </w:tc>
      </w:tr>
      <w:tr w14:paraId="465D3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5C55DC74">
            <w:pPr>
              <w:topLinePunct/>
              <w:spacing w:line="360" w:lineRule="auto"/>
              <w:jc w:val="left"/>
              <w:rPr>
                <w:rFonts w:hint="eastAsia" w:ascii="宋体" w:hAnsi="宋体" w:cs="宋体"/>
                <w:snapToGrid w:val="0"/>
                <w:kern w:val="0"/>
                <w:szCs w:val="21"/>
                <w:highlight w:val="none"/>
              </w:rPr>
            </w:pPr>
          </w:p>
        </w:tc>
        <w:tc>
          <w:tcPr>
            <w:tcW w:w="1415" w:type="dxa"/>
          </w:tcPr>
          <w:p w14:paraId="64F728B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传  真</w:t>
            </w:r>
          </w:p>
        </w:tc>
        <w:tc>
          <w:tcPr>
            <w:tcW w:w="2006" w:type="dxa"/>
          </w:tcPr>
          <w:p w14:paraId="78E2588F">
            <w:pPr>
              <w:topLinePunct/>
              <w:spacing w:line="360" w:lineRule="auto"/>
              <w:jc w:val="left"/>
              <w:rPr>
                <w:rFonts w:hint="eastAsia" w:ascii="宋体" w:hAnsi="宋体" w:cs="宋体"/>
                <w:snapToGrid w:val="0"/>
                <w:kern w:val="0"/>
                <w:szCs w:val="21"/>
                <w:highlight w:val="none"/>
              </w:rPr>
            </w:pPr>
          </w:p>
        </w:tc>
        <w:tc>
          <w:tcPr>
            <w:tcW w:w="1559" w:type="dxa"/>
          </w:tcPr>
          <w:p w14:paraId="1E6C62D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手  机</w:t>
            </w:r>
          </w:p>
        </w:tc>
        <w:tc>
          <w:tcPr>
            <w:tcW w:w="2658" w:type="dxa"/>
            <w:gridSpan w:val="2"/>
          </w:tcPr>
          <w:p w14:paraId="3F193D9B">
            <w:pPr>
              <w:topLinePunct/>
              <w:spacing w:line="360" w:lineRule="auto"/>
              <w:jc w:val="left"/>
              <w:rPr>
                <w:rFonts w:hint="eastAsia" w:ascii="宋体" w:hAnsi="宋体" w:cs="宋体"/>
                <w:snapToGrid w:val="0"/>
                <w:kern w:val="0"/>
                <w:szCs w:val="21"/>
                <w:highlight w:val="none"/>
              </w:rPr>
            </w:pPr>
          </w:p>
        </w:tc>
      </w:tr>
      <w:tr w14:paraId="0D4A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0167535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组织机构代码</w:t>
            </w:r>
          </w:p>
        </w:tc>
        <w:tc>
          <w:tcPr>
            <w:tcW w:w="7638" w:type="dxa"/>
            <w:gridSpan w:val="5"/>
          </w:tcPr>
          <w:p w14:paraId="73F4B180">
            <w:pPr>
              <w:topLinePunct/>
              <w:spacing w:line="360" w:lineRule="auto"/>
              <w:jc w:val="left"/>
              <w:rPr>
                <w:rFonts w:hint="eastAsia" w:ascii="宋体" w:hAnsi="宋体" w:cs="宋体"/>
                <w:snapToGrid w:val="0"/>
                <w:kern w:val="0"/>
                <w:szCs w:val="21"/>
                <w:highlight w:val="none"/>
              </w:rPr>
            </w:pPr>
          </w:p>
        </w:tc>
      </w:tr>
      <w:tr w14:paraId="427EE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7E80F9C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营业执照</w:t>
            </w:r>
          </w:p>
        </w:tc>
        <w:tc>
          <w:tcPr>
            <w:tcW w:w="1415" w:type="dxa"/>
          </w:tcPr>
          <w:p w14:paraId="34FB2B19">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注册号</w:t>
            </w:r>
          </w:p>
        </w:tc>
        <w:tc>
          <w:tcPr>
            <w:tcW w:w="2006" w:type="dxa"/>
          </w:tcPr>
          <w:p w14:paraId="22B135D3">
            <w:pPr>
              <w:topLinePunct/>
              <w:spacing w:line="360" w:lineRule="auto"/>
              <w:jc w:val="left"/>
              <w:rPr>
                <w:rFonts w:hint="eastAsia" w:ascii="宋体" w:hAnsi="宋体" w:cs="宋体"/>
                <w:snapToGrid w:val="0"/>
                <w:kern w:val="0"/>
                <w:szCs w:val="21"/>
                <w:highlight w:val="none"/>
              </w:rPr>
            </w:pPr>
          </w:p>
        </w:tc>
        <w:tc>
          <w:tcPr>
            <w:tcW w:w="1559" w:type="dxa"/>
          </w:tcPr>
          <w:p w14:paraId="036AAE08">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公司类型</w:t>
            </w:r>
          </w:p>
        </w:tc>
        <w:tc>
          <w:tcPr>
            <w:tcW w:w="2658" w:type="dxa"/>
            <w:gridSpan w:val="2"/>
          </w:tcPr>
          <w:p w14:paraId="2EA31C3C">
            <w:pPr>
              <w:topLinePunct/>
              <w:spacing w:line="360" w:lineRule="auto"/>
              <w:jc w:val="left"/>
              <w:rPr>
                <w:rFonts w:hint="eastAsia" w:ascii="宋体" w:hAnsi="宋体" w:cs="宋体"/>
                <w:snapToGrid w:val="0"/>
                <w:kern w:val="0"/>
                <w:szCs w:val="21"/>
                <w:highlight w:val="none"/>
              </w:rPr>
            </w:pPr>
          </w:p>
        </w:tc>
      </w:tr>
      <w:tr w14:paraId="6F04A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1A6B5C0A">
            <w:pPr>
              <w:topLinePunct/>
              <w:spacing w:line="360" w:lineRule="auto"/>
              <w:jc w:val="left"/>
              <w:rPr>
                <w:rFonts w:hint="eastAsia" w:ascii="宋体" w:hAnsi="宋体" w:cs="宋体"/>
                <w:snapToGrid w:val="0"/>
                <w:kern w:val="0"/>
                <w:szCs w:val="21"/>
                <w:highlight w:val="none"/>
              </w:rPr>
            </w:pPr>
          </w:p>
        </w:tc>
        <w:tc>
          <w:tcPr>
            <w:tcW w:w="1415" w:type="dxa"/>
          </w:tcPr>
          <w:p w14:paraId="23B6B91C">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注册地址</w:t>
            </w:r>
          </w:p>
        </w:tc>
        <w:tc>
          <w:tcPr>
            <w:tcW w:w="6223" w:type="dxa"/>
            <w:gridSpan w:val="4"/>
          </w:tcPr>
          <w:p w14:paraId="33E839F8">
            <w:pPr>
              <w:topLinePunct/>
              <w:spacing w:line="360" w:lineRule="auto"/>
              <w:jc w:val="left"/>
              <w:rPr>
                <w:rFonts w:hint="eastAsia" w:ascii="宋体" w:hAnsi="宋体" w:cs="宋体"/>
                <w:snapToGrid w:val="0"/>
                <w:kern w:val="0"/>
                <w:szCs w:val="21"/>
                <w:highlight w:val="none"/>
              </w:rPr>
            </w:pPr>
          </w:p>
        </w:tc>
      </w:tr>
      <w:tr w14:paraId="46E2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2190ED8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企业资质</w:t>
            </w:r>
          </w:p>
        </w:tc>
        <w:tc>
          <w:tcPr>
            <w:tcW w:w="1415" w:type="dxa"/>
          </w:tcPr>
          <w:p w14:paraId="4FF465AC">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资质等级</w:t>
            </w:r>
          </w:p>
        </w:tc>
        <w:tc>
          <w:tcPr>
            <w:tcW w:w="6223" w:type="dxa"/>
            <w:gridSpan w:val="4"/>
          </w:tcPr>
          <w:p w14:paraId="6DED6254">
            <w:pPr>
              <w:topLinePunct/>
              <w:spacing w:line="360" w:lineRule="auto"/>
              <w:ind w:firstLine="105" w:firstLineChars="50"/>
              <w:jc w:val="left"/>
              <w:rPr>
                <w:rFonts w:hint="eastAsia" w:ascii="宋体" w:hAnsi="宋体" w:cs="宋体"/>
                <w:strike/>
                <w:snapToGrid w:val="0"/>
                <w:kern w:val="0"/>
                <w:szCs w:val="21"/>
                <w:highlight w:val="none"/>
              </w:rPr>
            </w:pPr>
          </w:p>
        </w:tc>
      </w:tr>
      <w:tr w14:paraId="664D0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6E90934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信用手册</w:t>
            </w:r>
          </w:p>
        </w:tc>
        <w:tc>
          <w:tcPr>
            <w:tcW w:w="1415" w:type="dxa"/>
          </w:tcPr>
          <w:p w14:paraId="3B6FA81F">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是否单项</w:t>
            </w:r>
          </w:p>
        </w:tc>
        <w:tc>
          <w:tcPr>
            <w:tcW w:w="2006" w:type="dxa"/>
          </w:tcPr>
          <w:p w14:paraId="45917B1D">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792CD6CE">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有效期</w:t>
            </w:r>
          </w:p>
        </w:tc>
        <w:tc>
          <w:tcPr>
            <w:tcW w:w="2658" w:type="dxa"/>
            <w:gridSpan w:val="2"/>
          </w:tcPr>
          <w:p w14:paraId="4839A3C8">
            <w:pPr>
              <w:topLinePunct/>
              <w:spacing w:line="360" w:lineRule="auto"/>
              <w:ind w:firstLine="105" w:firstLineChars="50"/>
              <w:jc w:val="left"/>
              <w:rPr>
                <w:rFonts w:hint="eastAsia" w:ascii="宋体" w:hAnsi="宋体" w:cs="宋体"/>
                <w:snapToGrid w:val="0"/>
                <w:kern w:val="0"/>
                <w:szCs w:val="21"/>
                <w:highlight w:val="none"/>
              </w:rPr>
            </w:pPr>
          </w:p>
        </w:tc>
      </w:tr>
      <w:tr w14:paraId="0BB7B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353B55C2">
            <w:pPr>
              <w:topLinePunct/>
              <w:spacing w:line="360" w:lineRule="auto"/>
              <w:jc w:val="left"/>
              <w:rPr>
                <w:rFonts w:hint="eastAsia" w:ascii="宋体" w:hAnsi="宋体" w:cs="宋体"/>
                <w:snapToGrid w:val="0"/>
                <w:kern w:val="0"/>
                <w:szCs w:val="21"/>
                <w:highlight w:val="none"/>
              </w:rPr>
            </w:pPr>
          </w:p>
        </w:tc>
        <w:tc>
          <w:tcPr>
            <w:tcW w:w="1415" w:type="dxa"/>
          </w:tcPr>
          <w:p w14:paraId="4055B8EF">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信用评分</w:t>
            </w:r>
          </w:p>
        </w:tc>
        <w:tc>
          <w:tcPr>
            <w:tcW w:w="2006" w:type="dxa"/>
          </w:tcPr>
          <w:p w14:paraId="33A49146">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4B660C36">
            <w:pPr>
              <w:topLinePunct/>
              <w:spacing w:line="360" w:lineRule="auto"/>
              <w:ind w:firstLine="105" w:firstLineChars="50"/>
              <w:jc w:val="left"/>
              <w:rPr>
                <w:rFonts w:hint="eastAsia" w:ascii="宋体" w:hAnsi="宋体" w:cs="宋体"/>
                <w:snapToGrid w:val="0"/>
                <w:kern w:val="0"/>
                <w:szCs w:val="21"/>
                <w:highlight w:val="none"/>
              </w:rPr>
            </w:pPr>
          </w:p>
        </w:tc>
        <w:tc>
          <w:tcPr>
            <w:tcW w:w="2658" w:type="dxa"/>
            <w:gridSpan w:val="2"/>
          </w:tcPr>
          <w:p w14:paraId="24EF4F08">
            <w:pPr>
              <w:topLinePunct/>
              <w:spacing w:line="360" w:lineRule="auto"/>
              <w:ind w:firstLine="105" w:firstLineChars="50"/>
              <w:jc w:val="left"/>
              <w:rPr>
                <w:rFonts w:hint="eastAsia" w:ascii="宋体" w:hAnsi="宋体" w:cs="宋体"/>
                <w:snapToGrid w:val="0"/>
                <w:kern w:val="0"/>
                <w:szCs w:val="21"/>
                <w:highlight w:val="none"/>
              </w:rPr>
            </w:pPr>
          </w:p>
        </w:tc>
      </w:tr>
      <w:tr w14:paraId="5A44B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20F96E7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开户许可证</w:t>
            </w:r>
          </w:p>
        </w:tc>
        <w:tc>
          <w:tcPr>
            <w:tcW w:w="1415" w:type="dxa"/>
          </w:tcPr>
          <w:p w14:paraId="1C0EBB25">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开户银行</w:t>
            </w:r>
          </w:p>
        </w:tc>
        <w:tc>
          <w:tcPr>
            <w:tcW w:w="2006" w:type="dxa"/>
          </w:tcPr>
          <w:p w14:paraId="7C2E48F7">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16B2135C">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开户账号</w:t>
            </w:r>
          </w:p>
        </w:tc>
        <w:tc>
          <w:tcPr>
            <w:tcW w:w="2658" w:type="dxa"/>
            <w:gridSpan w:val="2"/>
          </w:tcPr>
          <w:p w14:paraId="489D6BFD">
            <w:pPr>
              <w:topLinePunct/>
              <w:spacing w:line="360" w:lineRule="auto"/>
              <w:ind w:firstLine="105" w:firstLineChars="50"/>
              <w:jc w:val="left"/>
              <w:rPr>
                <w:rFonts w:hint="eastAsia" w:ascii="宋体" w:hAnsi="宋体" w:cs="宋体"/>
                <w:snapToGrid w:val="0"/>
                <w:kern w:val="0"/>
                <w:szCs w:val="21"/>
                <w:highlight w:val="none"/>
              </w:rPr>
            </w:pPr>
          </w:p>
        </w:tc>
      </w:tr>
      <w:tr w14:paraId="03E6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187776A7">
            <w:pPr>
              <w:topLinePunct/>
              <w:spacing w:line="360" w:lineRule="auto"/>
              <w:ind w:firstLine="210" w:firstLineChars="100"/>
              <w:jc w:val="left"/>
              <w:rPr>
                <w:rFonts w:hint="eastAsia" w:ascii="宋体" w:hAnsi="宋体" w:cs="宋体"/>
                <w:strike/>
                <w:snapToGrid w:val="0"/>
                <w:kern w:val="0"/>
                <w:szCs w:val="21"/>
                <w:highlight w:val="none"/>
              </w:rPr>
            </w:pPr>
            <w:r>
              <w:rPr>
                <w:rFonts w:hint="eastAsia" w:ascii="宋体" w:hAnsi="宋体" w:cs="宋体"/>
                <w:snapToGrid w:val="0"/>
                <w:kern w:val="0"/>
                <w:szCs w:val="21"/>
                <w:highlight w:val="none"/>
              </w:rPr>
              <w:t>企业简介</w:t>
            </w:r>
          </w:p>
        </w:tc>
        <w:tc>
          <w:tcPr>
            <w:tcW w:w="7638" w:type="dxa"/>
            <w:gridSpan w:val="5"/>
          </w:tcPr>
          <w:p w14:paraId="3A0FB4FE">
            <w:pPr>
              <w:topLinePunct/>
              <w:spacing w:line="360" w:lineRule="auto"/>
              <w:jc w:val="left"/>
              <w:rPr>
                <w:rFonts w:hint="eastAsia" w:ascii="宋体" w:hAnsi="宋体" w:cs="宋体"/>
                <w:strike/>
                <w:snapToGrid w:val="0"/>
                <w:kern w:val="0"/>
                <w:szCs w:val="21"/>
                <w:highlight w:val="none"/>
              </w:rPr>
            </w:pPr>
          </w:p>
          <w:p w14:paraId="079F4354">
            <w:pPr>
              <w:topLinePunct/>
              <w:spacing w:line="360" w:lineRule="auto"/>
              <w:jc w:val="left"/>
              <w:rPr>
                <w:rFonts w:hint="eastAsia" w:ascii="宋体" w:hAnsi="宋体" w:cs="宋体"/>
                <w:strike/>
                <w:snapToGrid w:val="0"/>
                <w:kern w:val="0"/>
                <w:szCs w:val="21"/>
                <w:highlight w:val="none"/>
              </w:rPr>
            </w:pPr>
          </w:p>
        </w:tc>
      </w:tr>
    </w:tbl>
    <w:p w14:paraId="3F9BBA63">
      <w:pPr>
        <w:widowControl/>
        <w:jc w:val="left"/>
        <w:rPr>
          <w:rFonts w:hint="eastAsia" w:ascii="宋体" w:hAnsi="宋体" w:cs="宋体"/>
          <w:highlight w:val="none"/>
        </w:rPr>
      </w:pPr>
      <w:r>
        <w:rPr>
          <w:rFonts w:hint="eastAsia" w:ascii="宋体" w:hAnsi="宋体" w:cs="宋体"/>
          <w:kern w:val="0"/>
          <w:sz w:val="20"/>
          <w:highlight w:val="none"/>
        </w:rPr>
        <w:t>说明：投标人编制投标文件时，应将营业执照、资质证书等的原件扫描件作为本表的附件。</w:t>
      </w:r>
    </w:p>
    <w:p w14:paraId="544A4CF8">
      <w:pPr>
        <w:jc w:val="left"/>
        <w:rPr>
          <w:rFonts w:hint="eastAsia" w:ascii="宋体" w:hAnsi="宋体" w:cs="宋体"/>
          <w:highlight w:val="none"/>
        </w:rPr>
      </w:pPr>
      <w:r>
        <w:rPr>
          <w:rFonts w:hint="eastAsia" w:ascii="宋体" w:hAnsi="宋体" w:cs="宋体"/>
          <w:highlight w:val="none"/>
        </w:rPr>
        <w:br w:type="page"/>
      </w:r>
    </w:p>
    <w:p w14:paraId="41779A3D">
      <w:pPr>
        <w:spacing w:line="360" w:lineRule="auto"/>
        <w:jc w:val="center"/>
        <w:outlineLvl w:val="2"/>
        <w:rPr>
          <w:rFonts w:hint="eastAsia" w:ascii="宋体" w:hAnsi="宋体" w:cs="宋体"/>
          <w:b/>
          <w:snapToGrid w:val="0"/>
          <w:kern w:val="0"/>
          <w:sz w:val="32"/>
          <w:highlight w:val="none"/>
        </w:rPr>
      </w:pPr>
      <w:bookmarkStart w:id="398" w:name="_Toc25312"/>
      <w:bookmarkStart w:id="399" w:name="_Toc93404036"/>
      <w:bookmarkStart w:id="400" w:name="_Toc7749"/>
      <w:r>
        <w:rPr>
          <w:rFonts w:hint="eastAsia" w:ascii="宋体" w:hAnsi="宋体" w:cs="宋体"/>
          <w:b/>
          <w:snapToGrid w:val="0"/>
          <w:kern w:val="0"/>
          <w:sz w:val="32"/>
          <w:highlight w:val="none"/>
        </w:rPr>
        <w:t>七、全过程工程咨询服务机构人员表</w:t>
      </w:r>
      <w:bookmarkEnd w:id="398"/>
      <w:bookmarkEnd w:id="399"/>
      <w:bookmarkEnd w:id="400"/>
    </w:p>
    <w:p w14:paraId="2464EF54">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（一）全过程工程咨询服务机构人员一览表</w:t>
      </w:r>
    </w:p>
    <w:p w14:paraId="4F3E22D6">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620"/>
        <w:gridCol w:w="1393"/>
        <w:gridCol w:w="619"/>
        <w:gridCol w:w="619"/>
        <w:gridCol w:w="619"/>
        <w:gridCol w:w="1393"/>
        <w:gridCol w:w="1780"/>
        <w:gridCol w:w="1007"/>
        <w:gridCol w:w="619"/>
      </w:tblGrid>
      <w:tr w14:paraId="55EA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1DCB43DC">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620" w:type="dxa"/>
          </w:tcPr>
          <w:p w14:paraId="19F719C7">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393" w:type="dxa"/>
          </w:tcPr>
          <w:p w14:paraId="37A4AC61">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岗位</w:t>
            </w:r>
          </w:p>
        </w:tc>
        <w:tc>
          <w:tcPr>
            <w:tcW w:w="619" w:type="dxa"/>
          </w:tcPr>
          <w:p w14:paraId="4375CAD9">
            <w:pPr>
              <w:jc w:val="left"/>
              <w:rPr>
                <w:rFonts w:hint="eastAsia" w:ascii="宋体" w:hAnsi="宋体" w:cs="宋体"/>
                <w:strike/>
                <w:snapToGrid w:val="0"/>
                <w:kern w:val="0"/>
                <w:szCs w:val="21"/>
                <w:highlight w:val="none"/>
              </w:rPr>
            </w:pPr>
            <w:r>
              <w:rPr>
                <w:rFonts w:hint="eastAsia" w:ascii="宋体" w:hAnsi="宋体" w:cs="宋体"/>
                <w:snapToGrid w:val="0"/>
                <w:kern w:val="0"/>
                <w:szCs w:val="21"/>
                <w:highlight w:val="none"/>
              </w:rPr>
              <w:t>年龄</w:t>
            </w:r>
          </w:p>
        </w:tc>
        <w:tc>
          <w:tcPr>
            <w:tcW w:w="619" w:type="dxa"/>
          </w:tcPr>
          <w:p w14:paraId="18F3B6DC">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性别</w:t>
            </w:r>
          </w:p>
        </w:tc>
        <w:tc>
          <w:tcPr>
            <w:tcW w:w="619" w:type="dxa"/>
          </w:tcPr>
          <w:p w14:paraId="58BAC919">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职称</w:t>
            </w:r>
          </w:p>
        </w:tc>
        <w:tc>
          <w:tcPr>
            <w:tcW w:w="1393" w:type="dxa"/>
          </w:tcPr>
          <w:p w14:paraId="10C1A03F">
            <w:pPr>
              <w:jc w:val="left"/>
              <w:rPr>
                <w:rFonts w:hint="eastAsia" w:ascii="宋体" w:hAnsi="宋体" w:cs="宋体"/>
                <w:szCs w:val="21"/>
                <w:highlight w:val="none"/>
              </w:rPr>
            </w:pPr>
            <w:r>
              <w:rPr>
                <w:rFonts w:hint="eastAsia" w:ascii="宋体" w:hAnsi="宋体" w:cs="宋体"/>
                <w:snapToGrid w:val="0"/>
                <w:kern w:val="0"/>
                <w:szCs w:val="21"/>
                <w:highlight w:val="none"/>
              </w:rPr>
              <w:t>注册</w:t>
            </w:r>
            <w:r>
              <w:rPr>
                <w:rFonts w:hint="eastAsia" w:ascii="宋体" w:hAnsi="宋体" w:cs="宋体"/>
                <w:szCs w:val="21"/>
                <w:highlight w:val="none"/>
              </w:rPr>
              <w:t>工程师证书号</w:t>
            </w:r>
          </w:p>
        </w:tc>
        <w:tc>
          <w:tcPr>
            <w:tcW w:w="1780" w:type="dxa"/>
          </w:tcPr>
          <w:p w14:paraId="6F2D5465">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其他注册执业资格</w:t>
            </w:r>
          </w:p>
        </w:tc>
        <w:tc>
          <w:tcPr>
            <w:tcW w:w="1007" w:type="dxa"/>
          </w:tcPr>
          <w:p w14:paraId="390B99C8">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岗位证书</w:t>
            </w:r>
          </w:p>
        </w:tc>
        <w:tc>
          <w:tcPr>
            <w:tcW w:w="619" w:type="dxa"/>
          </w:tcPr>
          <w:p w14:paraId="0D176780">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40BC0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175E9297">
            <w:pPr>
              <w:spacing w:line="360" w:lineRule="auto"/>
              <w:jc w:val="left"/>
              <w:rPr>
                <w:rFonts w:hint="eastAsia" w:ascii="宋体" w:hAnsi="宋体" w:cs="宋体"/>
                <w:snapToGrid w:val="0"/>
                <w:kern w:val="0"/>
                <w:szCs w:val="21"/>
                <w:highlight w:val="none"/>
              </w:rPr>
            </w:pPr>
          </w:p>
        </w:tc>
        <w:tc>
          <w:tcPr>
            <w:tcW w:w="620" w:type="dxa"/>
          </w:tcPr>
          <w:p w14:paraId="222A7915">
            <w:pPr>
              <w:spacing w:line="360" w:lineRule="auto"/>
              <w:jc w:val="left"/>
              <w:rPr>
                <w:rFonts w:hint="eastAsia" w:ascii="宋体" w:hAnsi="宋体" w:cs="宋体"/>
                <w:snapToGrid w:val="0"/>
                <w:kern w:val="0"/>
                <w:szCs w:val="21"/>
                <w:highlight w:val="none"/>
              </w:rPr>
            </w:pPr>
          </w:p>
        </w:tc>
        <w:tc>
          <w:tcPr>
            <w:tcW w:w="1393" w:type="dxa"/>
          </w:tcPr>
          <w:p w14:paraId="5273E661">
            <w:pPr>
              <w:spacing w:line="360" w:lineRule="auto"/>
              <w:jc w:val="left"/>
              <w:rPr>
                <w:rFonts w:hint="eastAsia" w:ascii="宋体" w:hAnsi="宋体" w:cs="宋体"/>
                <w:snapToGrid w:val="0"/>
                <w:kern w:val="0"/>
                <w:szCs w:val="21"/>
                <w:highlight w:val="none"/>
              </w:rPr>
            </w:pPr>
          </w:p>
        </w:tc>
        <w:tc>
          <w:tcPr>
            <w:tcW w:w="619" w:type="dxa"/>
          </w:tcPr>
          <w:p w14:paraId="435A0994">
            <w:pPr>
              <w:spacing w:line="360" w:lineRule="auto"/>
              <w:jc w:val="left"/>
              <w:rPr>
                <w:rFonts w:hint="eastAsia" w:ascii="宋体" w:hAnsi="宋体" w:cs="宋体"/>
                <w:snapToGrid w:val="0"/>
                <w:kern w:val="0"/>
                <w:szCs w:val="21"/>
                <w:highlight w:val="none"/>
              </w:rPr>
            </w:pPr>
          </w:p>
        </w:tc>
        <w:tc>
          <w:tcPr>
            <w:tcW w:w="619" w:type="dxa"/>
          </w:tcPr>
          <w:p w14:paraId="702E53A5">
            <w:pPr>
              <w:spacing w:line="360" w:lineRule="auto"/>
              <w:jc w:val="left"/>
              <w:rPr>
                <w:rFonts w:hint="eastAsia" w:ascii="宋体" w:hAnsi="宋体" w:cs="宋体"/>
                <w:snapToGrid w:val="0"/>
                <w:kern w:val="0"/>
                <w:szCs w:val="21"/>
                <w:highlight w:val="none"/>
              </w:rPr>
            </w:pPr>
          </w:p>
        </w:tc>
        <w:tc>
          <w:tcPr>
            <w:tcW w:w="619" w:type="dxa"/>
          </w:tcPr>
          <w:p w14:paraId="3C4BDBD3">
            <w:pPr>
              <w:spacing w:line="360" w:lineRule="auto"/>
              <w:jc w:val="left"/>
              <w:rPr>
                <w:rFonts w:hint="eastAsia" w:ascii="宋体" w:hAnsi="宋体" w:cs="宋体"/>
                <w:snapToGrid w:val="0"/>
                <w:kern w:val="0"/>
                <w:szCs w:val="21"/>
                <w:highlight w:val="none"/>
              </w:rPr>
            </w:pPr>
          </w:p>
        </w:tc>
        <w:tc>
          <w:tcPr>
            <w:tcW w:w="1393" w:type="dxa"/>
          </w:tcPr>
          <w:p w14:paraId="453D034C">
            <w:pPr>
              <w:spacing w:line="360" w:lineRule="auto"/>
              <w:jc w:val="left"/>
              <w:rPr>
                <w:rFonts w:hint="eastAsia" w:ascii="宋体" w:hAnsi="宋体" w:cs="宋体"/>
                <w:snapToGrid w:val="0"/>
                <w:kern w:val="0"/>
                <w:szCs w:val="21"/>
                <w:highlight w:val="none"/>
              </w:rPr>
            </w:pPr>
          </w:p>
        </w:tc>
        <w:tc>
          <w:tcPr>
            <w:tcW w:w="1780" w:type="dxa"/>
          </w:tcPr>
          <w:p w14:paraId="50B445B0">
            <w:pPr>
              <w:spacing w:line="360" w:lineRule="auto"/>
              <w:jc w:val="left"/>
              <w:rPr>
                <w:rFonts w:hint="eastAsia" w:ascii="宋体" w:hAnsi="宋体" w:cs="宋体"/>
                <w:snapToGrid w:val="0"/>
                <w:kern w:val="0"/>
                <w:szCs w:val="21"/>
                <w:highlight w:val="none"/>
              </w:rPr>
            </w:pPr>
          </w:p>
        </w:tc>
        <w:tc>
          <w:tcPr>
            <w:tcW w:w="1007" w:type="dxa"/>
          </w:tcPr>
          <w:p w14:paraId="2EE24AEE">
            <w:pPr>
              <w:spacing w:line="360" w:lineRule="auto"/>
              <w:jc w:val="left"/>
              <w:rPr>
                <w:rFonts w:hint="eastAsia" w:ascii="宋体" w:hAnsi="宋体" w:cs="宋体"/>
                <w:snapToGrid w:val="0"/>
                <w:kern w:val="0"/>
                <w:szCs w:val="21"/>
                <w:highlight w:val="none"/>
              </w:rPr>
            </w:pPr>
          </w:p>
        </w:tc>
        <w:tc>
          <w:tcPr>
            <w:tcW w:w="619" w:type="dxa"/>
          </w:tcPr>
          <w:p w14:paraId="3A6145B5">
            <w:pPr>
              <w:spacing w:line="360" w:lineRule="auto"/>
              <w:jc w:val="left"/>
              <w:rPr>
                <w:rFonts w:hint="eastAsia" w:ascii="宋体" w:hAnsi="宋体" w:cs="宋体"/>
                <w:snapToGrid w:val="0"/>
                <w:kern w:val="0"/>
                <w:szCs w:val="21"/>
                <w:highlight w:val="none"/>
              </w:rPr>
            </w:pPr>
          </w:p>
        </w:tc>
      </w:tr>
      <w:tr w14:paraId="60B3D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07A1C9E5">
            <w:pPr>
              <w:spacing w:line="360" w:lineRule="auto"/>
              <w:jc w:val="left"/>
              <w:rPr>
                <w:rFonts w:hint="eastAsia" w:ascii="宋体" w:hAnsi="宋体" w:cs="宋体"/>
                <w:snapToGrid w:val="0"/>
                <w:kern w:val="0"/>
                <w:szCs w:val="21"/>
                <w:highlight w:val="none"/>
              </w:rPr>
            </w:pPr>
          </w:p>
        </w:tc>
        <w:tc>
          <w:tcPr>
            <w:tcW w:w="620" w:type="dxa"/>
          </w:tcPr>
          <w:p w14:paraId="64CB1AE6">
            <w:pPr>
              <w:spacing w:line="360" w:lineRule="auto"/>
              <w:jc w:val="left"/>
              <w:rPr>
                <w:rFonts w:hint="eastAsia" w:ascii="宋体" w:hAnsi="宋体" w:cs="宋体"/>
                <w:snapToGrid w:val="0"/>
                <w:kern w:val="0"/>
                <w:szCs w:val="21"/>
                <w:highlight w:val="none"/>
              </w:rPr>
            </w:pPr>
          </w:p>
        </w:tc>
        <w:tc>
          <w:tcPr>
            <w:tcW w:w="1393" w:type="dxa"/>
          </w:tcPr>
          <w:p w14:paraId="5ED3D90C">
            <w:pPr>
              <w:spacing w:line="360" w:lineRule="auto"/>
              <w:jc w:val="left"/>
              <w:rPr>
                <w:rFonts w:hint="eastAsia" w:ascii="宋体" w:hAnsi="宋体" w:cs="宋体"/>
                <w:snapToGrid w:val="0"/>
                <w:kern w:val="0"/>
                <w:szCs w:val="21"/>
                <w:highlight w:val="none"/>
              </w:rPr>
            </w:pPr>
          </w:p>
        </w:tc>
        <w:tc>
          <w:tcPr>
            <w:tcW w:w="619" w:type="dxa"/>
          </w:tcPr>
          <w:p w14:paraId="003A85FE">
            <w:pPr>
              <w:spacing w:line="360" w:lineRule="auto"/>
              <w:jc w:val="left"/>
              <w:rPr>
                <w:rFonts w:hint="eastAsia" w:ascii="宋体" w:hAnsi="宋体" w:cs="宋体"/>
                <w:snapToGrid w:val="0"/>
                <w:kern w:val="0"/>
                <w:szCs w:val="21"/>
                <w:highlight w:val="none"/>
              </w:rPr>
            </w:pPr>
          </w:p>
        </w:tc>
        <w:tc>
          <w:tcPr>
            <w:tcW w:w="619" w:type="dxa"/>
          </w:tcPr>
          <w:p w14:paraId="60331293">
            <w:pPr>
              <w:spacing w:line="360" w:lineRule="auto"/>
              <w:jc w:val="left"/>
              <w:rPr>
                <w:rFonts w:hint="eastAsia" w:ascii="宋体" w:hAnsi="宋体" w:cs="宋体"/>
                <w:snapToGrid w:val="0"/>
                <w:kern w:val="0"/>
                <w:szCs w:val="21"/>
                <w:highlight w:val="none"/>
              </w:rPr>
            </w:pPr>
          </w:p>
        </w:tc>
        <w:tc>
          <w:tcPr>
            <w:tcW w:w="619" w:type="dxa"/>
          </w:tcPr>
          <w:p w14:paraId="225C7F2D">
            <w:pPr>
              <w:spacing w:line="360" w:lineRule="auto"/>
              <w:jc w:val="left"/>
              <w:rPr>
                <w:rFonts w:hint="eastAsia" w:ascii="宋体" w:hAnsi="宋体" w:cs="宋体"/>
                <w:snapToGrid w:val="0"/>
                <w:kern w:val="0"/>
                <w:szCs w:val="21"/>
                <w:highlight w:val="none"/>
              </w:rPr>
            </w:pPr>
          </w:p>
        </w:tc>
        <w:tc>
          <w:tcPr>
            <w:tcW w:w="1393" w:type="dxa"/>
          </w:tcPr>
          <w:p w14:paraId="5187A72E">
            <w:pPr>
              <w:spacing w:line="360" w:lineRule="auto"/>
              <w:jc w:val="left"/>
              <w:rPr>
                <w:rFonts w:hint="eastAsia" w:ascii="宋体" w:hAnsi="宋体" w:cs="宋体"/>
                <w:snapToGrid w:val="0"/>
                <w:kern w:val="0"/>
                <w:szCs w:val="21"/>
                <w:highlight w:val="none"/>
              </w:rPr>
            </w:pPr>
          </w:p>
        </w:tc>
        <w:tc>
          <w:tcPr>
            <w:tcW w:w="1780" w:type="dxa"/>
          </w:tcPr>
          <w:p w14:paraId="5C2574A3">
            <w:pPr>
              <w:spacing w:line="360" w:lineRule="auto"/>
              <w:jc w:val="left"/>
              <w:rPr>
                <w:rFonts w:hint="eastAsia" w:ascii="宋体" w:hAnsi="宋体" w:cs="宋体"/>
                <w:snapToGrid w:val="0"/>
                <w:kern w:val="0"/>
                <w:szCs w:val="21"/>
                <w:highlight w:val="none"/>
              </w:rPr>
            </w:pPr>
          </w:p>
        </w:tc>
        <w:tc>
          <w:tcPr>
            <w:tcW w:w="1007" w:type="dxa"/>
          </w:tcPr>
          <w:p w14:paraId="23F884C2">
            <w:pPr>
              <w:spacing w:line="360" w:lineRule="auto"/>
              <w:jc w:val="left"/>
              <w:rPr>
                <w:rFonts w:hint="eastAsia" w:ascii="宋体" w:hAnsi="宋体" w:cs="宋体"/>
                <w:snapToGrid w:val="0"/>
                <w:kern w:val="0"/>
                <w:szCs w:val="21"/>
                <w:highlight w:val="none"/>
              </w:rPr>
            </w:pPr>
          </w:p>
        </w:tc>
        <w:tc>
          <w:tcPr>
            <w:tcW w:w="619" w:type="dxa"/>
          </w:tcPr>
          <w:p w14:paraId="1009BD67">
            <w:pPr>
              <w:spacing w:line="360" w:lineRule="auto"/>
              <w:jc w:val="left"/>
              <w:rPr>
                <w:rFonts w:hint="eastAsia" w:ascii="宋体" w:hAnsi="宋体" w:cs="宋体"/>
                <w:snapToGrid w:val="0"/>
                <w:kern w:val="0"/>
                <w:szCs w:val="21"/>
                <w:highlight w:val="none"/>
              </w:rPr>
            </w:pPr>
          </w:p>
        </w:tc>
      </w:tr>
      <w:tr w14:paraId="3A26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6D73B86C">
            <w:pPr>
              <w:spacing w:line="360" w:lineRule="auto"/>
              <w:jc w:val="left"/>
              <w:rPr>
                <w:rFonts w:hint="eastAsia" w:ascii="宋体" w:hAnsi="宋体" w:cs="宋体"/>
                <w:snapToGrid w:val="0"/>
                <w:kern w:val="0"/>
                <w:szCs w:val="21"/>
                <w:highlight w:val="none"/>
              </w:rPr>
            </w:pPr>
          </w:p>
        </w:tc>
        <w:tc>
          <w:tcPr>
            <w:tcW w:w="620" w:type="dxa"/>
          </w:tcPr>
          <w:p w14:paraId="0B76E6B2">
            <w:pPr>
              <w:spacing w:line="360" w:lineRule="auto"/>
              <w:jc w:val="left"/>
              <w:rPr>
                <w:rFonts w:hint="eastAsia" w:ascii="宋体" w:hAnsi="宋体" w:cs="宋体"/>
                <w:snapToGrid w:val="0"/>
                <w:kern w:val="0"/>
                <w:szCs w:val="21"/>
                <w:highlight w:val="none"/>
              </w:rPr>
            </w:pPr>
          </w:p>
        </w:tc>
        <w:tc>
          <w:tcPr>
            <w:tcW w:w="1393" w:type="dxa"/>
          </w:tcPr>
          <w:p w14:paraId="6B7CFE06">
            <w:pPr>
              <w:spacing w:line="360" w:lineRule="auto"/>
              <w:jc w:val="left"/>
              <w:rPr>
                <w:rFonts w:hint="eastAsia" w:ascii="宋体" w:hAnsi="宋体" w:cs="宋体"/>
                <w:snapToGrid w:val="0"/>
                <w:kern w:val="0"/>
                <w:szCs w:val="21"/>
                <w:highlight w:val="none"/>
              </w:rPr>
            </w:pPr>
          </w:p>
        </w:tc>
        <w:tc>
          <w:tcPr>
            <w:tcW w:w="619" w:type="dxa"/>
          </w:tcPr>
          <w:p w14:paraId="352A1155">
            <w:pPr>
              <w:spacing w:line="360" w:lineRule="auto"/>
              <w:jc w:val="left"/>
              <w:rPr>
                <w:rFonts w:hint="eastAsia" w:ascii="宋体" w:hAnsi="宋体" w:cs="宋体"/>
                <w:strike/>
                <w:snapToGrid w:val="0"/>
                <w:kern w:val="0"/>
                <w:szCs w:val="21"/>
                <w:highlight w:val="none"/>
              </w:rPr>
            </w:pPr>
          </w:p>
        </w:tc>
        <w:tc>
          <w:tcPr>
            <w:tcW w:w="619" w:type="dxa"/>
          </w:tcPr>
          <w:p w14:paraId="29E7CC1D">
            <w:pPr>
              <w:spacing w:line="360" w:lineRule="auto"/>
              <w:jc w:val="left"/>
              <w:rPr>
                <w:rFonts w:hint="eastAsia" w:ascii="宋体" w:hAnsi="宋体" w:cs="宋体"/>
                <w:strike/>
                <w:snapToGrid w:val="0"/>
                <w:kern w:val="0"/>
                <w:szCs w:val="21"/>
                <w:highlight w:val="none"/>
              </w:rPr>
            </w:pPr>
          </w:p>
        </w:tc>
        <w:tc>
          <w:tcPr>
            <w:tcW w:w="619" w:type="dxa"/>
          </w:tcPr>
          <w:p w14:paraId="3C8E2D08">
            <w:pPr>
              <w:spacing w:line="360" w:lineRule="auto"/>
              <w:jc w:val="left"/>
              <w:rPr>
                <w:rFonts w:hint="eastAsia" w:ascii="宋体" w:hAnsi="宋体" w:cs="宋体"/>
                <w:snapToGrid w:val="0"/>
                <w:kern w:val="0"/>
                <w:szCs w:val="21"/>
                <w:highlight w:val="none"/>
              </w:rPr>
            </w:pPr>
          </w:p>
        </w:tc>
        <w:tc>
          <w:tcPr>
            <w:tcW w:w="1393" w:type="dxa"/>
          </w:tcPr>
          <w:p w14:paraId="35626419">
            <w:pPr>
              <w:spacing w:line="360" w:lineRule="auto"/>
              <w:jc w:val="left"/>
              <w:rPr>
                <w:rFonts w:hint="eastAsia" w:ascii="宋体" w:hAnsi="宋体" w:cs="宋体"/>
                <w:snapToGrid w:val="0"/>
                <w:kern w:val="0"/>
                <w:szCs w:val="21"/>
                <w:highlight w:val="none"/>
              </w:rPr>
            </w:pPr>
          </w:p>
        </w:tc>
        <w:tc>
          <w:tcPr>
            <w:tcW w:w="1780" w:type="dxa"/>
          </w:tcPr>
          <w:p w14:paraId="1AA6E4E8">
            <w:pPr>
              <w:spacing w:line="360" w:lineRule="auto"/>
              <w:jc w:val="left"/>
              <w:rPr>
                <w:rFonts w:hint="eastAsia" w:ascii="宋体" w:hAnsi="宋体" w:cs="宋体"/>
                <w:snapToGrid w:val="0"/>
                <w:kern w:val="0"/>
                <w:szCs w:val="21"/>
                <w:highlight w:val="none"/>
              </w:rPr>
            </w:pPr>
          </w:p>
        </w:tc>
        <w:tc>
          <w:tcPr>
            <w:tcW w:w="1007" w:type="dxa"/>
          </w:tcPr>
          <w:p w14:paraId="0FA8593F">
            <w:pPr>
              <w:spacing w:line="360" w:lineRule="auto"/>
              <w:jc w:val="left"/>
              <w:rPr>
                <w:rFonts w:hint="eastAsia" w:ascii="宋体" w:hAnsi="宋体" w:cs="宋体"/>
                <w:snapToGrid w:val="0"/>
                <w:kern w:val="0"/>
                <w:szCs w:val="21"/>
                <w:highlight w:val="none"/>
              </w:rPr>
            </w:pPr>
          </w:p>
        </w:tc>
        <w:tc>
          <w:tcPr>
            <w:tcW w:w="619" w:type="dxa"/>
          </w:tcPr>
          <w:p w14:paraId="48748BDF">
            <w:pPr>
              <w:spacing w:line="360" w:lineRule="auto"/>
              <w:jc w:val="left"/>
              <w:rPr>
                <w:rFonts w:hint="eastAsia" w:ascii="宋体" w:hAnsi="宋体" w:cs="宋体"/>
                <w:snapToGrid w:val="0"/>
                <w:kern w:val="0"/>
                <w:szCs w:val="21"/>
                <w:highlight w:val="none"/>
              </w:rPr>
            </w:pPr>
          </w:p>
        </w:tc>
      </w:tr>
      <w:tr w14:paraId="33AE8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A34AAE2">
            <w:pPr>
              <w:spacing w:line="360" w:lineRule="auto"/>
              <w:jc w:val="left"/>
              <w:rPr>
                <w:rFonts w:hint="eastAsia" w:ascii="宋体" w:hAnsi="宋体" w:cs="宋体"/>
                <w:snapToGrid w:val="0"/>
                <w:kern w:val="0"/>
                <w:szCs w:val="21"/>
                <w:highlight w:val="none"/>
              </w:rPr>
            </w:pPr>
          </w:p>
        </w:tc>
        <w:tc>
          <w:tcPr>
            <w:tcW w:w="620" w:type="dxa"/>
          </w:tcPr>
          <w:p w14:paraId="518CA480">
            <w:pPr>
              <w:spacing w:line="360" w:lineRule="auto"/>
              <w:jc w:val="left"/>
              <w:rPr>
                <w:rFonts w:hint="eastAsia" w:ascii="宋体" w:hAnsi="宋体" w:cs="宋体"/>
                <w:snapToGrid w:val="0"/>
                <w:kern w:val="0"/>
                <w:szCs w:val="21"/>
                <w:highlight w:val="none"/>
              </w:rPr>
            </w:pPr>
          </w:p>
        </w:tc>
        <w:tc>
          <w:tcPr>
            <w:tcW w:w="1393" w:type="dxa"/>
          </w:tcPr>
          <w:p w14:paraId="1B8F9AD8">
            <w:pPr>
              <w:spacing w:line="360" w:lineRule="auto"/>
              <w:jc w:val="left"/>
              <w:rPr>
                <w:rFonts w:hint="eastAsia" w:ascii="宋体" w:hAnsi="宋体" w:cs="宋体"/>
                <w:snapToGrid w:val="0"/>
                <w:kern w:val="0"/>
                <w:szCs w:val="21"/>
                <w:highlight w:val="none"/>
              </w:rPr>
            </w:pPr>
          </w:p>
        </w:tc>
        <w:tc>
          <w:tcPr>
            <w:tcW w:w="619" w:type="dxa"/>
          </w:tcPr>
          <w:p w14:paraId="6F3409DC">
            <w:pPr>
              <w:spacing w:line="360" w:lineRule="auto"/>
              <w:jc w:val="left"/>
              <w:rPr>
                <w:rFonts w:hint="eastAsia" w:ascii="宋体" w:hAnsi="宋体" w:cs="宋体"/>
                <w:strike/>
                <w:snapToGrid w:val="0"/>
                <w:kern w:val="0"/>
                <w:szCs w:val="21"/>
                <w:highlight w:val="none"/>
              </w:rPr>
            </w:pPr>
          </w:p>
        </w:tc>
        <w:tc>
          <w:tcPr>
            <w:tcW w:w="619" w:type="dxa"/>
          </w:tcPr>
          <w:p w14:paraId="3A6B425F">
            <w:pPr>
              <w:spacing w:line="360" w:lineRule="auto"/>
              <w:jc w:val="left"/>
              <w:rPr>
                <w:rFonts w:hint="eastAsia" w:ascii="宋体" w:hAnsi="宋体" w:cs="宋体"/>
                <w:strike/>
                <w:snapToGrid w:val="0"/>
                <w:kern w:val="0"/>
                <w:szCs w:val="21"/>
                <w:highlight w:val="none"/>
              </w:rPr>
            </w:pPr>
          </w:p>
        </w:tc>
        <w:tc>
          <w:tcPr>
            <w:tcW w:w="619" w:type="dxa"/>
          </w:tcPr>
          <w:p w14:paraId="3FDDFD52">
            <w:pPr>
              <w:spacing w:line="360" w:lineRule="auto"/>
              <w:jc w:val="left"/>
              <w:rPr>
                <w:rFonts w:hint="eastAsia" w:ascii="宋体" w:hAnsi="宋体" w:cs="宋体"/>
                <w:snapToGrid w:val="0"/>
                <w:kern w:val="0"/>
                <w:szCs w:val="21"/>
                <w:highlight w:val="none"/>
              </w:rPr>
            </w:pPr>
          </w:p>
        </w:tc>
        <w:tc>
          <w:tcPr>
            <w:tcW w:w="1393" w:type="dxa"/>
          </w:tcPr>
          <w:p w14:paraId="424BFF37">
            <w:pPr>
              <w:spacing w:line="360" w:lineRule="auto"/>
              <w:jc w:val="left"/>
              <w:rPr>
                <w:rFonts w:hint="eastAsia" w:ascii="宋体" w:hAnsi="宋体" w:cs="宋体"/>
                <w:snapToGrid w:val="0"/>
                <w:kern w:val="0"/>
                <w:szCs w:val="21"/>
                <w:highlight w:val="none"/>
              </w:rPr>
            </w:pPr>
          </w:p>
        </w:tc>
        <w:tc>
          <w:tcPr>
            <w:tcW w:w="1780" w:type="dxa"/>
          </w:tcPr>
          <w:p w14:paraId="788AC54E">
            <w:pPr>
              <w:spacing w:line="360" w:lineRule="auto"/>
              <w:jc w:val="left"/>
              <w:rPr>
                <w:rFonts w:hint="eastAsia" w:ascii="宋体" w:hAnsi="宋体" w:cs="宋体"/>
                <w:snapToGrid w:val="0"/>
                <w:kern w:val="0"/>
                <w:szCs w:val="21"/>
                <w:highlight w:val="none"/>
              </w:rPr>
            </w:pPr>
          </w:p>
        </w:tc>
        <w:tc>
          <w:tcPr>
            <w:tcW w:w="1007" w:type="dxa"/>
          </w:tcPr>
          <w:p w14:paraId="7EC049DA">
            <w:pPr>
              <w:spacing w:line="360" w:lineRule="auto"/>
              <w:jc w:val="left"/>
              <w:rPr>
                <w:rFonts w:hint="eastAsia" w:ascii="宋体" w:hAnsi="宋体" w:cs="宋体"/>
                <w:snapToGrid w:val="0"/>
                <w:kern w:val="0"/>
                <w:szCs w:val="21"/>
                <w:highlight w:val="none"/>
              </w:rPr>
            </w:pPr>
          </w:p>
        </w:tc>
        <w:tc>
          <w:tcPr>
            <w:tcW w:w="619" w:type="dxa"/>
          </w:tcPr>
          <w:p w14:paraId="31DE2E9A">
            <w:pPr>
              <w:spacing w:line="360" w:lineRule="auto"/>
              <w:jc w:val="left"/>
              <w:rPr>
                <w:rFonts w:hint="eastAsia" w:ascii="宋体" w:hAnsi="宋体" w:cs="宋体"/>
                <w:snapToGrid w:val="0"/>
                <w:kern w:val="0"/>
                <w:szCs w:val="21"/>
                <w:highlight w:val="none"/>
              </w:rPr>
            </w:pPr>
          </w:p>
        </w:tc>
      </w:tr>
      <w:tr w14:paraId="0D0D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4A86CD74">
            <w:pPr>
              <w:spacing w:line="360" w:lineRule="auto"/>
              <w:jc w:val="left"/>
              <w:rPr>
                <w:rFonts w:hint="eastAsia" w:ascii="宋体" w:hAnsi="宋体" w:cs="宋体"/>
                <w:snapToGrid w:val="0"/>
                <w:kern w:val="0"/>
                <w:szCs w:val="21"/>
                <w:highlight w:val="none"/>
              </w:rPr>
            </w:pPr>
          </w:p>
        </w:tc>
        <w:tc>
          <w:tcPr>
            <w:tcW w:w="620" w:type="dxa"/>
          </w:tcPr>
          <w:p w14:paraId="3084C29E">
            <w:pPr>
              <w:spacing w:line="360" w:lineRule="auto"/>
              <w:jc w:val="left"/>
              <w:rPr>
                <w:rFonts w:hint="eastAsia" w:ascii="宋体" w:hAnsi="宋体" w:cs="宋体"/>
                <w:snapToGrid w:val="0"/>
                <w:kern w:val="0"/>
                <w:szCs w:val="21"/>
                <w:highlight w:val="none"/>
              </w:rPr>
            </w:pPr>
          </w:p>
        </w:tc>
        <w:tc>
          <w:tcPr>
            <w:tcW w:w="1393" w:type="dxa"/>
          </w:tcPr>
          <w:p w14:paraId="702AFB51">
            <w:pPr>
              <w:spacing w:line="360" w:lineRule="auto"/>
              <w:jc w:val="left"/>
              <w:rPr>
                <w:rFonts w:hint="eastAsia" w:ascii="宋体" w:hAnsi="宋体" w:cs="宋体"/>
                <w:snapToGrid w:val="0"/>
                <w:kern w:val="0"/>
                <w:szCs w:val="21"/>
                <w:highlight w:val="none"/>
              </w:rPr>
            </w:pPr>
          </w:p>
        </w:tc>
        <w:tc>
          <w:tcPr>
            <w:tcW w:w="619" w:type="dxa"/>
          </w:tcPr>
          <w:p w14:paraId="3BF83D0D">
            <w:pPr>
              <w:spacing w:line="360" w:lineRule="auto"/>
              <w:jc w:val="left"/>
              <w:rPr>
                <w:rFonts w:hint="eastAsia" w:ascii="宋体" w:hAnsi="宋体" w:cs="宋体"/>
                <w:strike/>
                <w:snapToGrid w:val="0"/>
                <w:kern w:val="0"/>
                <w:szCs w:val="21"/>
                <w:highlight w:val="none"/>
              </w:rPr>
            </w:pPr>
          </w:p>
        </w:tc>
        <w:tc>
          <w:tcPr>
            <w:tcW w:w="619" w:type="dxa"/>
          </w:tcPr>
          <w:p w14:paraId="3D4AE17B">
            <w:pPr>
              <w:spacing w:line="360" w:lineRule="auto"/>
              <w:jc w:val="left"/>
              <w:rPr>
                <w:rFonts w:hint="eastAsia" w:ascii="宋体" w:hAnsi="宋体" w:cs="宋体"/>
                <w:strike/>
                <w:snapToGrid w:val="0"/>
                <w:kern w:val="0"/>
                <w:szCs w:val="21"/>
                <w:highlight w:val="none"/>
              </w:rPr>
            </w:pPr>
          </w:p>
        </w:tc>
        <w:tc>
          <w:tcPr>
            <w:tcW w:w="619" w:type="dxa"/>
          </w:tcPr>
          <w:p w14:paraId="7CB909A4">
            <w:pPr>
              <w:spacing w:line="360" w:lineRule="auto"/>
              <w:jc w:val="left"/>
              <w:rPr>
                <w:rFonts w:hint="eastAsia" w:ascii="宋体" w:hAnsi="宋体" w:cs="宋体"/>
                <w:snapToGrid w:val="0"/>
                <w:kern w:val="0"/>
                <w:szCs w:val="21"/>
                <w:highlight w:val="none"/>
              </w:rPr>
            </w:pPr>
          </w:p>
        </w:tc>
        <w:tc>
          <w:tcPr>
            <w:tcW w:w="1393" w:type="dxa"/>
          </w:tcPr>
          <w:p w14:paraId="61B3D03D">
            <w:pPr>
              <w:spacing w:line="360" w:lineRule="auto"/>
              <w:jc w:val="left"/>
              <w:rPr>
                <w:rFonts w:hint="eastAsia" w:ascii="宋体" w:hAnsi="宋体" w:cs="宋体"/>
                <w:snapToGrid w:val="0"/>
                <w:kern w:val="0"/>
                <w:szCs w:val="21"/>
                <w:highlight w:val="none"/>
              </w:rPr>
            </w:pPr>
          </w:p>
        </w:tc>
        <w:tc>
          <w:tcPr>
            <w:tcW w:w="1780" w:type="dxa"/>
          </w:tcPr>
          <w:p w14:paraId="4A489125">
            <w:pPr>
              <w:spacing w:line="360" w:lineRule="auto"/>
              <w:jc w:val="left"/>
              <w:rPr>
                <w:rFonts w:hint="eastAsia" w:ascii="宋体" w:hAnsi="宋体" w:cs="宋体"/>
                <w:snapToGrid w:val="0"/>
                <w:kern w:val="0"/>
                <w:szCs w:val="21"/>
                <w:highlight w:val="none"/>
              </w:rPr>
            </w:pPr>
          </w:p>
        </w:tc>
        <w:tc>
          <w:tcPr>
            <w:tcW w:w="1007" w:type="dxa"/>
          </w:tcPr>
          <w:p w14:paraId="5CF5223D">
            <w:pPr>
              <w:spacing w:line="360" w:lineRule="auto"/>
              <w:jc w:val="left"/>
              <w:rPr>
                <w:rFonts w:hint="eastAsia" w:ascii="宋体" w:hAnsi="宋体" w:cs="宋体"/>
                <w:snapToGrid w:val="0"/>
                <w:kern w:val="0"/>
                <w:szCs w:val="21"/>
                <w:highlight w:val="none"/>
              </w:rPr>
            </w:pPr>
          </w:p>
        </w:tc>
        <w:tc>
          <w:tcPr>
            <w:tcW w:w="619" w:type="dxa"/>
          </w:tcPr>
          <w:p w14:paraId="432F6A48">
            <w:pPr>
              <w:spacing w:line="360" w:lineRule="auto"/>
              <w:jc w:val="left"/>
              <w:rPr>
                <w:rFonts w:hint="eastAsia" w:ascii="宋体" w:hAnsi="宋体" w:cs="宋体"/>
                <w:snapToGrid w:val="0"/>
                <w:kern w:val="0"/>
                <w:szCs w:val="21"/>
                <w:highlight w:val="none"/>
              </w:rPr>
            </w:pPr>
          </w:p>
        </w:tc>
      </w:tr>
      <w:tr w14:paraId="5F485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4D159232">
            <w:pPr>
              <w:spacing w:line="360" w:lineRule="auto"/>
              <w:jc w:val="left"/>
              <w:rPr>
                <w:rFonts w:hint="eastAsia" w:ascii="宋体" w:hAnsi="宋体" w:cs="宋体"/>
                <w:snapToGrid w:val="0"/>
                <w:kern w:val="0"/>
                <w:szCs w:val="21"/>
                <w:highlight w:val="none"/>
              </w:rPr>
            </w:pPr>
          </w:p>
        </w:tc>
        <w:tc>
          <w:tcPr>
            <w:tcW w:w="620" w:type="dxa"/>
          </w:tcPr>
          <w:p w14:paraId="4F966513">
            <w:pPr>
              <w:spacing w:line="360" w:lineRule="auto"/>
              <w:jc w:val="left"/>
              <w:rPr>
                <w:rFonts w:hint="eastAsia" w:ascii="宋体" w:hAnsi="宋体" w:cs="宋体"/>
                <w:snapToGrid w:val="0"/>
                <w:kern w:val="0"/>
                <w:szCs w:val="21"/>
                <w:highlight w:val="none"/>
              </w:rPr>
            </w:pPr>
          </w:p>
        </w:tc>
        <w:tc>
          <w:tcPr>
            <w:tcW w:w="1393" w:type="dxa"/>
          </w:tcPr>
          <w:p w14:paraId="57B06CBB">
            <w:pPr>
              <w:spacing w:line="360" w:lineRule="auto"/>
              <w:jc w:val="left"/>
              <w:rPr>
                <w:rFonts w:hint="eastAsia" w:ascii="宋体" w:hAnsi="宋体" w:cs="宋体"/>
                <w:snapToGrid w:val="0"/>
                <w:kern w:val="0"/>
                <w:szCs w:val="21"/>
                <w:highlight w:val="none"/>
              </w:rPr>
            </w:pPr>
          </w:p>
        </w:tc>
        <w:tc>
          <w:tcPr>
            <w:tcW w:w="619" w:type="dxa"/>
          </w:tcPr>
          <w:p w14:paraId="2648322E">
            <w:pPr>
              <w:spacing w:line="360" w:lineRule="auto"/>
              <w:jc w:val="left"/>
              <w:rPr>
                <w:rFonts w:hint="eastAsia" w:ascii="宋体" w:hAnsi="宋体" w:cs="宋体"/>
                <w:strike/>
                <w:snapToGrid w:val="0"/>
                <w:kern w:val="0"/>
                <w:szCs w:val="21"/>
                <w:highlight w:val="none"/>
              </w:rPr>
            </w:pPr>
          </w:p>
        </w:tc>
        <w:tc>
          <w:tcPr>
            <w:tcW w:w="619" w:type="dxa"/>
          </w:tcPr>
          <w:p w14:paraId="3AB9C5EF">
            <w:pPr>
              <w:spacing w:line="360" w:lineRule="auto"/>
              <w:jc w:val="left"/>
              <w:rPr>
                <w:rFonts w:hint="eastAsia" w:ascii="宋体" w:hAnsi="宋体" w:cs="宋体"/>
                <w:strike/>
                <w:snapToGrid w:val="0"/>
                <w:kern w:val="0"/>
                <w:szCs w:val="21"/>
                <w:highlight w:val="none"/>
              </w:rPr>
            </w:pPr>
          </w:p>
        </w:tc>
        <w:tc>
          <w:tcPr>
            <w:tcW w:w="619" w:type="dxa"/>
          </w:tcPr>
          <w:p w14:paraId="03EB36A6">
            <w:pPr>
              <w:spacing w:line="360" w:lineRule="auto"/>
              <w:jc w:val="left"/>
              <w:rPr>
                <w:rFonts w:hint="eastAsia" w:ascii="宋体" w:hAnsi="宋体" w:cs="宋体"/>
                <w:snapToGrid w:val="0"/>
                <w:kern w:val="0"/>
                <w:szCs w:val="21"/>
                <w:highlight w:val="none"/>
              </w:rPr>
            </w:pPr>
          </w:p>
        </w:tc>
        <w:tc>
          <w:tcPr>
            <w:tcW w:w="1393" w:type="dxa"/>
          </w:tcPr>
          <w:p w14:paraId="719C2317">
            <w:pPr>
              <w:spacing w:line="360" w:lineRule="auto"/>
              <w:jc w:val="left"/>
              <w:rPr>
                <w:rFonts w:hint="eastAsia" w:ascii="宋体" w:hAnsi="宋体" w:cs="宋体"/>
                <w:snapToGrid w:val="0"/>
                <w:kern w:val="0"/>
                <w:szCs w:val="21"/>
                <w:highlight w:val="none"/>
              </w:rPr>
            </w:pPr>
          </w:p>
        </w:tc>
        <w:tc>
          <w:tcPr>
            <w:tcW w:w="1780" w:type="dxa"/>
          </w:tcPr>
          <w:p w14:paraId="0DFB30AE">
            <w:pPr>
              <w:spacing w:line="360" w:lineRule="auto"/>
              <w:jc w:val="left"/>
              <w:rPr>
                <w:rFonts w:hint="eastAsia" w:ascii="宋体" w:hAnsi="宋体" w:cs="宋体"/>
                <w:snapToGrid w:val="0"/>
                <w:kern w:val="0"/>
                <w:szCs w:val="21"/>
                <w:highlight w:val="none"/>
              </w:rPr>
            </w:pPr>
          </w:p>
        </w:tc>
        <w:tc>
          <w:tcPr>
            <w:tcW w:w="1007" w:type="dxa"/>
          </w:tcPr>
          <w:p w14:paraId="7887387B">
            <w:pPr>
              <w:spacing w:line="360" w:lineRule="auto"/>
              <w:jc w:val="left"/>
              <w:rPr>
                <w:rFonts w:hint="eastAsia" w:ascii="宋体" w:hAnsi="宋体" w:cs="宋体"/>
                <w:snapToGrid w:val="0"/>
                <w:kern w:val="0"/>
                <w:szCs w:val="21"/>
                <w:highlight w:val="none"/>
              </w:rPr>
            </w:pPr>
          </w:p>
        </w:tc>
        <w:tc>
          <w:tcPr>
            <w:tcW w:w="619" w:type="dxa"/>
          </w:tcPr>
          <w:p w14:paraId="768ECC81">
            <w:pPr>
              <w:spacing w:line="360" w:lineRule="auto"/>
              <w:jc w:val="left"/>
              <w:rPr>
                <w:rFonts w:hint="eastAsia" w:ascii="宋体" w:hAnsi="宋体" w:cs="宋体"/>
                <w:snapToGrid w:val="0"/>
                <w:kern w:val="0"/>
                <w:szCs w:val="21"/>
                <w:highlight w:val="none"/>
              </w:rPr>
            </w:pPr>
          </w:p>
        </w:tc>
      </w:tr>
      <w:tr w14:paraId="065F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5C811B8">
            <w:pPr>
              <w:spacing w:line="360" w:lineRule="auto"/>
              <w:jc w:val="left"/>
              <w:rPr>
                <w:rFonts w:hint="eastAsia" w:ascii="宋体" w:hAnsi="宋体" w:cs="宋体"/>
                <w:snapToGrid w:val="0"/>
                <w:kern w:val="0"/>
                <w:szCs w:val="21"/>
                <w:highlight w:val="none"/>
              </w:rPr>
            </w:pPr>
          </w:p>
        </w:tc>
        <w:tc>
          <w:tcPr>
            <w:tcW w:w="620" w:type="dxa"/>
          </w:tcPr>
          <w:p w14:paraId="175CA8E5">
            <w:pPr>
              <w:spacing w:line="360" w:lineRule="auto"/>
              <w:jc w:val="left"/>
              <w:rPr>
                <w:rFonts w:hint="eastAsia" w:ascii="宋体" w:hAnsi="宋体" w:cs="宋体"/>
                <w:snapToGrid w:val="0"/>
                <w:kern w:val="0"/>
                <w:szCs w:val="21"/>
                <w:highlight w:val="none"/>
              </w:rPr>
            </w:pPr>
          </w:p>
        </w:tc>
        <w:tc>
          <w:tcPr>
            <w:tcW w:w="1393" w:type="dxa"/>
          </w:tcPr>
          <w:p w14:paraId="58C82624">
            <w:pPr>
              <w:spacing w:line="360" w:lineRule="auto"/>
              <w:jc w:val="left"/>
              <w:rPr>
                <w:rFonts w:hint="eastAsia" w:ascii="宋体" w:hAnsi="宋体" w:cs="宋体"/>
                <w:snapToGrid w:val="0"/>
                <w:kern w:val="0"/>
                <w:szCs w:val="21"/>
                <w:highlight w:val="none"/>
              </w:rPr>
            </w:pPr>
          </w:p>
        </w:tc>
        <w:tc>
          <w:tcPr>
            <w:tcW w:w="619" w:type="dxa"/>
          </w:tcPr>
          <w:p w14:paraId="116C21D3">
            <w:pPr>
              <w:spacing w:line="360" w:lineRule="auto"/>
              <w:jc w:val="left"/>
              <w:rPr>
                <w:rFonts w:hint="eastAsia" w:ascii="宋体" w:hAnsi="宋体" w:cs="宋体"/>
                <w:strike/>
                <w:snapToGrid w:val="0"/>
                <w:kern w:val="0"/>
                <w:szCs w:val="21"/>
                <w:highlight w:val="none"/>
              </w:rPr>
            </w:pPr>
          </w:p>
        </w:tc>
        <w:tc>
          <w:tcPr>
            <w:tcW w:w="619" w:type="dxa"/>
          </w:tcPr>
          <w:p w14:paraId="7C5A60F5">
            <w:pPr>
              <w:spacing w:line="360" w:lineRule="auto"/>
              <w:jc w:val="left"/>
              <w:rPr>
                <w:rFonts w:hint="eastAsia" w:ascii="宋体" w:hAnsi="宋体" w:cs="宋体"/>
                <w:strike/>
                <w:snapToGrid w:val="0"/>
                <w:kern w:val="0"/>
                <w:szCs w:val="21"/>
                <w:highlight w:val="none"/>
              </w:rPr>
            </w:pPr>
          </w:p>
        </w:tc>
        <w:tc>
          <w:tcPr>
            <w:tcW w:w="619" w:type="dxa"/>
          </w:tcPr>
          <w:p w14:paraId="324697E2">
            <w:pPr>
              <w:spacing w:line="360" w:lineRule="auto"/>
              <w:jc w:val="left"/>
              <w:rPr>
                <w:rFonts w:hint="eastAsia" w:ascii="宋体" w:hAnsi="宋体" w:cs="宋体"/>
                <w:snapToGrid w:val="0"/>
                <w:kern w:val="0"/>
                <w:szCs w:val="21"/>
                <w:highlight w:val="none"/>
              </w:rPr>
            </w:pPr>
          </w:p>
        </w:tc>
        <w:tc>
          <w:tcPr>
            <w:tcW w:w="1393" w:type="dxa"/>
          </w:tcPr>
          <w:p w14:paraId="593D7CC3">
            <w:pPr>
              <w:spacing w:line="360" w:lineRule="auto"/>
              <w:jc w:val="left"/>
              <w:rPr>
                <w:rFonts w:hint="eastAsia" w:ascii="宋体" w:hAnsi="宋体" w:cs="宋体"/>
                <w:snapToGrid w:val="0"/>
                <w:kern w:val="0"/>
                <w:szCs w:val="21"/>
                <w:highlight w:val="none"/>
              </w:rPr>
            </w:pPr>
          </w:p>
        </w:tc>
        <w:tc>
          <w:tcPr>
            <w:tcW w:w="1780" w:type="dxa"/>
          </w:tcPr>
          <w:p w14:paraId="26E81F81">
            <w:pPr>
              <w:spacing w:line="360" w:lineRule="auto"/>
              <w:jc w:val="left"/>
              <w:rPr>
                <w:rFonts w:hint="eastAsia" w:ascii="宋体" w:hAnsi="宋体" w:cs="宋体"/>
                <w:snapToGrid w:val="0"/>
                <w:kern w:val="0"/>
                <w:szCs w:val="21"/>
                <w:highlight w:val="none"/>
              </w:rPr>
            </w:pPr>
          </w:p>
        </w:tc>
        <w:tc>
          <w:tcPr>
            <w:tcW w:w="1007" w:type="dxa"/>
          </w:tcPr>
          <w:p w14:paraId="320D6976">
            <w:pPr>
              <w:spacing w:line="360" w:lineRule="auto"/>
              <w:jc w:val="left"/>
              <w:rPr>
                <w:rFonts w:hint="eastAsia" w:ascii="宋体" w:hAnsi="宋体" w:cs="宋体"/>
                <w:snapToGrid w:val="0"/>
                <w:kern w:val="0"/>
                <w:szCs w:val="21"/>
                <w:highlight w:val="none"/>
              </w:rPr>
            </w:pPr>
          </w:p>
        </w:tc>
        <w:tc>
          <w:tcPr>
            <w:tcW w:w="619" w:type="dxa"/>
          </w:tcPr>
          <w:p w14:paraId="4793A64A">
            <w:pPr>
              <w:spacing w:line="360" w:lineRule="auto"/>
              <w:jc w:val="left"/>
              <w:rPr>
                <w:rFonts w:hint="eastAsia" w:ascii="宋体" w:hAnsi="宋体" w:cs="宋体"/>
                <w:snapToGrid w:val="0"/>
                <w:kern w:val="0"/>
                <w:szCs w:val="21"/>
                <w:highlight w:val="none"/>
              </w:rPr>
            </w:pPr>
          </w:p>
        </w:tc>
      </w:tr>
      <w:tr w14:paraId="1025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0DD69DD1">
            <w:pPr>
              <w:spacing w:line="360" w:lineRule="auto"/>
              <w:jc w:val="left"/>
              <w:rPr>
                <w:rFonts w:hint="eastAsia" w:ascii="宋体" w:hAnsi="宋体" w:cs="宋体"/>
                <w:snapToGrid w:val="0"/>
                <w:kern w:val="0"/>
                <w:szCs w:val="21"/>
                <w:highlight w:val="none"/>
              </w:rPr>
            </w:pPr>
          </w:p>
        </w:tc>
        <w:tc>
          <w:tcPr>
            <w:tcW w:w="620" w:type="dxa"/>
          </w:tcPr>
          <w:p w14:paraId="7D71040F">
            <w:pPr>
              <w:spacing w:line="360" w:lineRule="auto"/>
              <w:jc w:val="left"/>
              <w:rPr>
                <w:rFonts w:hint="eastAsia" w:ascii="宋体" w:hAnsi="宋体" w:cs="宋体"/>
                <w:snapToGrid w:val="0"/>
                <w:kern w:val="0"/>
                <w:szCs w:val="21"/>
                <w:highlight w:val="none"/>
              </w:rPr>
            </w:pPr>
          </w:p>
        </w:tc>
        <w:tc>
          <w:tcPr>
            <w:tcW w:w="1393" w:type="dxa"/>
          </w:tcPr>
          <w:p w14:paraId="73B5A8EF">
            <w:pPr>
              <w:spacing w:line="360" w:lineRule="auto"/>
              <w:jc w:val="left"/>
              <w:rPr>
                <w:rFonts w:hint="eastAsia" w:ascii="宋体" w:hAnsi="宋体" w:cs="宋体"/>
                <w:snapToGrid w:val="0"/>
                <w:kern w:val="0"/>
                <w:szCs w:val="21"/>
                <w:highlight w:val="none"/>
              </w:rPr>
            </w:pPr>
          </w:p>
        </w:tc>
        <w:tc>
          <w:tcPr>
            <w:tcW w:w="619" w:type="dxa"/>
          </w:tcPr>
          <w:p w14:paraId="1B1ED1D6">
            <w:pPr>
              <w:spacing w:line="360" w:lineRule="auto"/>
              <w:jc w:val="left"/>
              <w:rPr>
                <w:rFonts w:hint="eastAsia" w:ascii="宋体" w:hAnsi="宋体" w:cs="宋体"/>
                <w:strike/>
                <w:snapToGrid w:val="0"/>
                <w:kern w:val="0"/>
                <w:szCs w:val="21"/>
                <w:highlight w:val="none"/>
              </w:rPr>
            </w:pPr>
          </w:p>
        </w:tc>
        <w:tc>
          <w:tcPr>
            <w:tcW w:w="619" w:type="dxa"/>
          </w:tcPr>
          <w:p w14:paraId="0864BFB5">
            <w:pPr>
              <w:spacing w:line="360" w:lineRule="auto"/>
              <w:jc w:val="left"/>
              <w:rPr>
                <w:rFonts w:hint="eastAsia" w:ascii="宋体" w:hAnsi="宋体" w:cs="宋体"/>
                <w:strike/>
                <w:snapToGrid w:val="0"/>
                <w:kern w:val="0"/>
                <w:szCs w:val="21"/>
                <w:highlight w:val="none"/>
              </w:rPr>
            </w:pPr>
          </w:p>
        </w:tc>
        <w:tc>
          <w:tcPr>
            <w:tcW w:w="619" w:type="dxa"/>
          </w:tcPr>
          <w:p w14:paraId="1C1B48BD">
            <w:pPr>
              <w:spacing w:line="360" w:lineRule="auto"/>
              <w:jc w:val="left"/>
              <w:rPr>
                <w:rFonts w:hint="eastAsia" w:ascii="宋体" w:hAnsi="宋体" w:cs="宋体"/>
                <w:snapToGrid w:val="0"/>
                <w:kern w:val="0"/>
                <w:szCs w:val="21"/>
                <w:highlight w:val="none"/>
              </w:rPr>
            </w:pPr>
          </w:p>
        </w:tc>
        <w:tc>
          <w:tcPr>
            <w:tcW w:w="1393" w:type="dxa"/>
          </w:tcPr>
          <w:p w14:paraId="5DC24729">
            <w:pPr>
              <w:spacing w:line="360" w:lineRule="auto"/>
              <w:jc w:val="left"/>
              <w:rPr>
                <w:rFonts w:hint="eastAsia" w:ascii="宋体" w:hAnsi="宋体" w:cs="宋体"/>
                <w:snapToGrid w:val="0"/>
                <w:kern w:val="0"/>
                <w:szCs w:val="21"/>
                <w:highlight w:val="none"/>
              </w:rPr>
            </w:pPr>
          </w:p>
        </w:tc>
        <w:tc>
          <w:tcPr>
            <w:tcW w:w="1780" w:type="dxa"/>
          </w:tcPr>
          <w:p w14:paraId="0130DB32">
            <w:pPr>
              <w:spacing w:line="360" w:lineRule="auto"/>
              <w:jc w:val="left"/>
              <w:rPr>
                <w:rFonts w:hint="eastAsia" w:ascii="宋体" w:hAnsi="宋体" w:cs="宋体"/>
                <w:snapToGrid w:val="0"/>
                <w:kern w:val="0"/>
                <w:szCs w:val="21"/>
                <w:highlight w:val="none"/>
              </w:rPr>
            </w:pPr>
          </w:p>
        </w:tc>
        <w:tc>
          <w:tcPr>
            <w:tcW w:w="1007" w:type="dxa"/>
          </w:tcPr>
          <w:p w14:paraId="4A55C4D6">
            <w:pPr>
              <w:spacing w:line="360" w:lineRule="auto"/>
              <w:jc w:val="left"/>
              <w:rPr>
                <w:rFonts w:hint="eastAsia" w:ascii="宋体" w:hAnsi="宋体" w:cs="宋体"/>
                <w:snapToGrid w:val="0"/>
                <w:kern w:val="0"/>
                <w:szCs w:val="21"/>
                <w:highlight w:val="none"/>
              </w:rPr>
            </w:pPr>
          </w:p>
        </w:tc>
        <w:tc>
          <w:tcPr>
            <w:tcW w:w="619" w:type="dxa"/>
          </w:tcPr>
          <w:p w14:paraId="576D1E02">
            <w:pPr>
              <w:spacing w:line="360" w:lineRule="auto"/>
              <w:jc w:val="left"/>
              <w:rPr>
                <w:rFonts w:hint="eastAsia" w:ascii="宋体" w:hAnsi="宋体" w:cs="宋体"/>
                <w:snapToGrid w:val="0"/>
                <w:kern w:val="0"/>
                <w:szCs w:val="21"/>
                <w:highlight w:val="none"/>
              </w:rPr>
            </w:pPr>
          </w:p>
        </w:tc>
      </w:tr>
      <w:tr w14:paraId="7E2AE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9EF765E">
            <w:pPr>
              <w:spacing w:line="360" w:lineRule="auto"/>
              <w:jc w:val="left"/>
              <w:rPr>
                <w:rFonts w:hint="eastAsia" w:ascii="宋体" w:hAnsi="宋体" w:cs="宋体"/>
                <w:snapToGrid w:val="0"/>
                <w:kern w:val="0"/>
                <w:szCs w:val="21"/>
                <w:highlight w:val="none"/>
              </w:rPr>
            </w:pPr>
          </w:p>
        </w:tc>
        <w:tc>
          <w:tcPr>
            <w:tcW w:w="620" w:type="dxa"/>
          </w:tcPr>
          <w:p w14:paraId="729CF685">
            <w:pPr>
              <w:spacing w:line="360" w:lineRule="auto"/>
              <w:jc w:val="left"/>
              <w:rPr>
                <w:rFonts w:hint="eastAsia" w:ascii="宋体" w:hAnsi="宋体" w:cs="宋体"/>
                <w:snapToGrid w:val="0"/>
                <w:kern w:val="0"/>
                <w:szCs w:val="21"/>
                <w:highlight w:val="none"/>
              </w:rPr>
            </w:pPr>
          </w:p>
        </w:tc>
        <w:tc>
          <w:tcPr>
            <w:tcW w:w="1393" w:type="dxa"/>
          </w:tcPr>
          <w:p w14:paraId="0AAA4E9F">
            <w:pPr>
              <w:spacing w:line="360" w:lineRule="auto"/>
              <w:jc w:val="left"/>
              <w:rPr>
                <w:rFonts w:hint="eastAsia" w:ascii="宋体" w:hAnsi="宋体" w:cs="宋体"/>
                <w:snapToGrid w:val="0"/>
                <w:kern w:val="0"/>
                <w:szCs w:val="21"/>
                <w:highlight w:val="none"/>
              </w:rPr>
            </w:pPr>
          </w:p>
        </w:tc>
        <w:tc>
          <w:tcPr>
            <w:tcW w:w="619" w:type="dxa"/>
          </w:tcPr>
          <w:p w14:paraId="4296D871">
            <w:pPr>
              <w:spacing w:line="360" w:lineRule="auto"/>
              <w:jc w:val="left"/>
              <w:rPr>
                <w:rFonts w:hint="eastAsia" w:ascii="宋体" w:hAnsi="宋体" w:cs="宋体"/>
                <w:strike/>
                <w:snapToGrid w:val="0"/>
                <w:kern w:val="0"/>
                <w:szCs w:val="21"/>
                <w:highlight w:val="none"/>
              </w:rPr>
            </w:pPr>
          </w:p>
        </w:tc>
        <w:tc>
          <w:tcPr>
            <w:tcW w:w="619" w:type="dxa"/>
          </w:tcPr>
          <w:p w14:paraId="2FFA471C">
            <w:pPr>
              <w:spacing w:line="360" w:lineRule="auto"/>
              <w:jc w:val="left"/>
              <w:rPr>
                <w:rFonts w:hint="eastAsia" w:ascii="宋体" w:hAnsi="宋体" w:cs="宋体"/>
                <w:strike/>
                <w:snapToGrid w:val="0"/>
                <w:kern w:val="0"/>
                <w:szCs w:val="21"/>
                <w:highlight w:val="none"/>
              </w:rPr>
            </w:pPr>
          </w:p>
        </w:tc>
        <w:tc>
          <w:tcPr>
            <w:tcW w:w="619" w:type="dxa"/>
          </w:tcPr>
          <w:p w14:paraId="2F86D1C4">
            <w:pPr>
              <w:spacing w:line="360" w:lineRule="auto"/>
              <w:jc w:val="left"/>
              <w:rPr>
                <w:rFonts w:hint="eastAsia" w:ascii="宋体" w:hAnsi="宋体" w:cs="宋体"/>
                <w:snapToGrid w:val="0"/>
                <w:kern w:val="0"/>
                <w:szCs w:val="21"/>
                <w:highlight w:val="none"/>
              </w:rPr>
            </w:pPr>
          </w:p>
        </w:tc>
        <w:tc>
          <w:tcPr>
            <w:tcW w:w="1393" w:type="dxa"/>
          </w:tcPr>
          <w:p w14:paraId="622A28D0">
            <w:pPr>
              <w:spacing w:line="360" w:lineRule="auto"/>
              <w:jc w:val="left"/>
              <w:rPr>
                <w:rFonts w:hint="eastAsia" w:ascii="宋体" w:hAnsi="宋体" w:cs="宋体"/>
                <w:snapToGrid w:val="0"/>
                <w:kern w:val="0"/>
                <w:szCs w:val="21"/>
                <w:highlight w:val="none"/>
              </w:rPr>
            </w:pPr>
          </w:p>
        </w:tc>
        <w:tc>
          <w:tcPr>
            <w:tcW w:w="1780" w:type="dxa"/>
          </w:tcPr>
          <w:p w14:paraId="066CA0E3">
            <w:pPr>
              <w:spacing w:line="360" w:lineRule="auto"/>
              <w:jc w:val="left"/>
              <w:rPr>
                <w:rFonts w:hint="eastAsia" w:ascii="宋体" w:hAnsi="宋体" w:cs="宋体"/>
                <w:snapToGrid w:val="0"/>
                <w:kern w:val="0"/>
                <w:szCs w:val="21"/>
                <w:highlight w:val="none"/>
              </w:rPr>
            </w:pPr>
          </w:p>
        </w:tc>
        <w:tc>
          <w:tcPr>
            <w:tcW w:w="1007" w:type="dxa"/>
          </w:tcPr>
          <w:p w14:paraId="1064D878">
            <w:pPr>
              <w:spacing w:line="360" w:lineRule="auto"/>
              <w:jc w:val="left"/>
              <w:rPr>
                <w:rFonts w:hint="eastAsia" w:ascii="宋体" w:hAnsi="宋体" w:cs="宋体"/>
                <w:snapToGrid w:val="0"/>
                <w:kern w:val="0"/>
                <w:szCs w:val="21"/>
                <w:highlight w:val="none"/>
              </w:rPr>
            </w:pPr>
          </w:p>
        </w:tc>
        <w:tc>
          <w:tcPr>
            <w:tcW w:w="619" w:type="dxa"/>
          </w:tcPr>
          <w:p w14:paraId="07D12952">
            <w:pPr>
              <w:spacing w:line="360" w:lineRule="auto"/>
              <w:jc w:val="left"/>
              <w:rPr>
                <w:rFonts w:hint="eastAsia" w:ascii="宋体" w:hAnsi="宋体" w:cs="宋体"/>
                <w:snapToGrid w:val="0"/>
                <w:kern w:val="0"/>
                <w:szCs w:val="21"/>
                <w:highlight w:val="none"/>
              </w:rPr>
            </w:pPr>
          </w:p>
        </w:tc>
      </w:tr>
    </w:tbl>
    <w:p w14:paraId="4F92ECBA">
      <w:pPr>
        <w:jc w:val="left"/>
        <w:rPr>
          <w:rFonts w:hint="eastAsia" w:ascii="宋体" w:hAnsi="宋体" w:cs="宋体"/>
          <w:highlight w:val="none"/>
        </w:rPr>
      </w:pPr>
      <w:r>
        <w:rPr>
          <w:rFonts w:hint="eastAsia" w:ascii="宋体" w:hAnsi="宋体" w:cs="宋体"/>
          <w:highlight w:val="none"/>
        </w:rPr>
        <w:br w:type="page"/>
      </w:r>
    </w:p>
    <w:p w14:paraId="5290751C">
      <w:pPr>
        <w:numPr>
          <w:ilvl w:val="0"/>
          <w:numId w:val="0"/>
        </w:numPr>
        <w:spacing w:line="360" w:lineRule="auto"/>
        <w:jc w:val="center"/>
        <w:rPr>
          <w:rFonts w:hint="eastAsia" w:ascii="宋体" w:hAnsi="宋体" w:cs="宋体"/>
          <w:b/>
          <w:snapToGrid w:val="0"/>
          <w:sz w:val="28"/>
          <w:highlight w:val="none"/>
        </w:rPr>
      </w:pPr>
      <w:r>
        <w:rPr>
          <w:rFonts w:hint="eastAsia" w:ascii="宋体" w:hAnsi="宋体" w:eastAsia="宋体" w:cs="宋体"/>
          <w:b/>
          <w:snapToGrid w:val="0"/>
          <w:kern w:val="2"/>
          <w:sz w:val="28"/>
          <w:highlight w:val="none"/>
          <w:lang w:val="en-US" w:eastAsia="zh-CN" w:bidi="ar-SA"/>
        </w:rPr>
        <w:t>（二）</w:t>
      </w:r>
      <w:r>
        <w:rPr>
          <w:rFonts w:hint="eastAsia" w:ascii="宋体" w:hAnsi="宋体" w:cs="宋体"/>
          <w:b/>
          <w:snapToGrid w:val="0"/>
          <w:sz w:val="28"/>
          <w:highlight w:val="none"/>
        </w:rPr>
        <w:t>全过程工程咨询服务项目总负责人及相关配套人员情况简介</w:t>
      </w:r>
    </w:p>
    <w:p w14:paraId="0AE98F56">
      <w:pPr>
        <w:spacing w:line="360" w:lineRule="auto"/>
        <w:jc w:val="left"/>
        <w:rPr>
          <w:rFonts w:hint="eastAsia" w:ascii="宋体" w:hAnsi="宋体" w:cs="宋体"/>
          <w:b/>
          <w:snapToGrid w:val="0"/>
          <w:sz w:val="24"/>
          <w:szCs w:val="24"/>
          <w:highlight w:val="none"/>
        </w:rPr>
      </w:pPr>
    </w:p>
    <w:p w14:paraId="3D2C99C1">
      <w:pPr>
        <w:spacing w:line="360" w:lineRule="auto"/>
        <w:jc w:val="left"/>
        <w:rPr>
          <w:rFonts w:hint="eastAsia" w:ascii="宋体" w:hAnsi="宋体" w:cs="宋体"/>
          <w:b w:val="0"/>
          <w:bCs/>
          <w:snapToGrid w:val="0"/>
          <w:sz w:val="24"/>
          <w:szCs w:val="24"/>
          <w:highlight w:val="none"/>
        </w:rPr>
      </w:pPr>
      <w:r>
        <w:rPr>
          <w:rFonts w:hint="eastAsia" w:ascii="宋体" w:hAnsi="宋体" w:cs="宋体"/>
          <w:b w:val="0"/>
          <w:bCs/>
          <w:snapToGrid w:val="0"/>
          <w:sz w:val="24"/>
          <w:szCs w:val="24"/>
          <w:highlight w:val="none"/>
        </w:rPr>
        <w:t>说明：（1）项目经理指项目总负责人，主要管理人员指相关配套人员，提供相关证书、身份证、社保等材料</w:t>
      </w:r>
      <w:r>
        <w:rPr>
          <w:rFonts w:hint="eastAsia" w:ascii="宋体" w:hAnsi="宋体" w:cs="宋体"/>
          <w:b w:val="0"/>
          <w:bCs/>
          <w:snapToGrid w:val="0"/>
          <w:sz w:val="24"/>
          <w:szCs w:val="24"/>
          <w:highlight w:val="none"/>
          <w:lang w:val="en-US" w:eastAsia="zh-CN"/>
        </w:rPr>
        <w:t>复印件加盖公章附于投标文件</w:t>
      </w:r>
      <w:r>
        <w:rPr>
          <w:rFonts w:hint="eastAsia" w:ascii="宋体" w:hAnsi="宋体" w:cs="宋体"/>
          <w:b w:val="0"/>
          <w:bCs/>
          <w:snapToGrid w:val="0"/>
          <w:sz w:val="24"/>
          <w:szCs w:val="24"/>
          <w:highlight w:val="none"/>
        </w:rPr>
        <w:t>。</w:t>
      </w:r>
    </w:p>
    <w:p w14:paraId="73134DD6">
      <w:pPr>
        <w:spacing w:line="360" w:lineRule="auto"/>
        <w:jc w:val="left"/>
        <w:rPr>
          <w:rFonts w:hint="eastAsia" w:ascii="宋体" w:hAnsi="宋体" w:cs="宋体"/>
          <w:b w:val="0"/>
          <w:bCs/>
          <w:snapToGrid w:val="0"/>
          <w:sz w:val="24"/>
          <w:szCs w:val="24"/>
          <w:highlight w:val="none"/>
        </w:rPr>
      </w:pPr>
      <w:r>
        <w:rPr>
          <w:rFonts w:hint="eastAsia" w:ascii="宋体" w:hAnsi="宋体" w:cs="宋体"/>
          <w:b w:val="0"/>
          <w:bCs/>
          <w:snapToGrid w:val="0"/>
          <w:sz w:val="24"/>
          <w:szCs w:val="24"/>
          <w:highlight w:val="none"/>
        </w:rPr>
        <w:t>（2）附人员相关证书、学历证、社保等材料</w:t>
      </w:r>
      <w:r>
        <w:rPr>
          <w:rFonts w:hint="eastAsia" w:ascii="宋体" w:hAnsi="宋体" w:cs="宋体"/>
          <w:b w:val="0"/>
          <w:bCs/>
          <w:snapToGrid w:val="0"/>
          <w:sz w:val="24"/>
          <w:szCs w:val="24"/>
          <w:highlight w:val="none"/>
          <w:lang w:val="en-US" w:eastAsia="zh-CN"/>
        </w:rPr>
        <w:t>复印件加盖公章附于投标文件</w:t>
      </w:r>
      <w:r>
        <w:rPr>
          <w:rFonts w:hint="eastAsia" w:ascii="宋体" w:hAnsi="宋体" w:cs="宋体"/>
          <w:b w:val="0"/>
          <w:bCs/>
          <w:snapToGrid w:val="0"/>
          <w:sz w:val="24"/>
          <w:szCs w:val="24"/>
          <w:highlight w:val="none"/>
        </w:rPr>
        <w:t>。</w:t>
      </w:r>
    </w:p>
    <w:p w14:paraId="469E0AF2">
      <w:pPr>
        <w:jc w:val="left"/>
        <w:rPr>
          <w:rFonts w:hint="eastAsia" w:ascii="宋体" w:hAnsi="宋体" w:cs="宋体"/>
          <w:b w:val="0"/>
          <w:bCs/>
          <w:highlight w:val="none"/>
        </w:rPr>
      </w:pPr>
    </w:p>
    <w:p w14:paraId="3816B7A9">
      <w:pPr>
        <w:jc w:val="left"/>
        <w:rPr>
          <w:rFonts w:hint="eastAsia" w:ascii="宋体" w:hAnsi="宋体" w:cs="宋体"/>
          <w:b w:val="0"/>
          <w:bCs/>
          <w:highlight w:val="none"/>
        </w:rPr>
      </w:pPr>
      <w:r>
        <w:rPr>
          <w:rFonts w:hint="eastAsia" w:ascii="宋体" w:hAnsi="宋体" w:cs="宋体"/>
          <w:b w:val="0"/>
          <w:bCs/>
          <w:highlight w:val="none"/>
        </w:rPr>
        <w:br w:type="page"/>
      </w:r>
    </w:p>
    <w:p w14:paraId="5A90AEC0">
      <w:pPr>
        <w:spacing w:line="360" w:lineRule="auto"/>
        <w:jc w:val="center"/>
        <w:outlineLvl w:val="2"/>
        <w:rPr>
          <w:rFonts w:hint="eastAsia" w:ascii="宋体" w:hAnsi="宋体" w:cs="宋体"/>
          <w:b/>
          <w:snapToGrid w:val="0"/>
          <w:kern w:val="0"/>
          <w:sz w:val="32"/>
          <w:highlight w:val="none"/>
        </w:rPr>
      </w:pPr>
      <w:bookmarkStart w:id="401" w:name="_Toc93404037"/>
      <w:r>
        <w:rPr>
          <w:rFonts w:hint="eastAsia" w:ascii="宋体" w:hAnsi="宋体" w:cs="宋体"/>
          <w:b/>
          <w:snapToGrid w:val="0"/>
          <w:kern w:val="0"/>
          <w:sz w:val="32"/>
          <w:highlight w:val="none"/>
        </w:rPr>
        <w:t>八、业绩资料表</w:t>
      </w:r>
      <w:bookmarkEnd w:id="401"/>
    </w:p>
    <w:p w14:paraId="7B8CEC37">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（一）业绩情况一览表</w:t>
      </w:r>
    </w:p>
    <w:p w14:paraId="684EEC78">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179"/>
        <w:gridCol w:w="975"/>
        <w:gridCol w:w="1427"/>
        <w:gridCol w:w="1300"/>
        <w:gridCol w:w="1343"/>
        <w:gridCol w:w="1343"/>
      </w:tblGrid>
      <w:tr w14:paraId="39631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21" w:type="dxa"/>
          </w:tcPr>
          <w:p w14:paraId="36D2A66A">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2179" w:type="dxa"/>
          </w:tcPr>
          <w:p w14:paraId="4A46FCC9">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业绩名称</w:t>
            </w:r>
          </w:p>
        </w:tc>
        <w:tc>
          <w:tcPr>
            <w:tcW w:w="975" w:type="dxa"/>
          </w:tcPr>
          <w:p w14:paraId="205C816A">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委托人名称</w:t>
            </w:r>
          </w:p>
        </w:tc>
        <w:tc>
          <w:tcPr>
            <w:tcW w:w="1427" w:type="dxa"/>
          </w:tcPr>
          <w:p w14:paraId="17DD838C">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工程投资规模（万元）</w:t>
            </w:r>
          </w:p>
        </w:tc>
        <w:tc>
          <w:tcPr>
            <w:tcW w:w="1300" w:type="dxa"/>
          </w:tcPr>
          <w:p w14:paraId="280C42A4">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中标时间</w:t>
            </w:r>
          </w:p>
        </w:tc>
        <w:tc>
          <w:tcPr>
            <w:tcW w:w="1343" w:type="dxa"/>
          </w:tcPr>
          <w:p w14:paraId="79654A91">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项目经理</w:t>
            </w:r>
          </w:p>
          <w:p w14:paraId="3DEA9755">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343" w:type="dxa"/>
          </w:tcPr>
          <w:p w14:paraId="6BBC7F0E">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4063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21" w:type="dxa"/>
          </w:tcPr>
          <w:p w14:paraId="29FC4EE2">
            <w:pPr>
              <w:topLinePunct/>
              <w:spacing w:line="360" w:lineRule="auto"/>
              <w:jc w:val="left"/>
              <w:rPr>
                <w:rFonts w:hint="eastAsia" w:ascii="宋体" w:hAnsi="宋体" w:cs="宋体"/>
                <w:snapToGrid w:val="0"/>
                <w:kern w:val="0"/>
                <w:szCs w:val="21"/>
                <w:highlight w:val="none"/>
              </w:rPr>
            </w:pPr>
          </w:p>
        </w:tc>
        <w:tc>
          <w:tcPr>
            <w:tcW w:w="2179" w:type="dxa"/>
          </w:tcPr>
          <w:p w14:paraId="4F6AF849">
            <w:pPr>
              <w:topLinePunct/>
              <w:spacing w:line="360" w:lineRule="auto"/>
              <w:jc w:val="left"/>
              <w:rPr>
                <w:rFonts w:hint="eastAsia" w:ascii="宋体" w:hAnsi="宋体" w:cs="宋体"/>
                <w:snapToGrid w:val="0"/>
                <w:kern w:val="0"/>
                <w:szCs w:val="21"/>
                <w:highlight w:val="none"/>
              </w:rPr>
            </w:pPr>
          </w:p>
        </w:tc>
        <w:tc>
          <w:tcPr>
            <w:tcW w:w="975" w:type="dxa"/>
          </w:tcPr>
          <w:p w14:paraId="55C3ED99">
            <w:pPr>
              <w:topLinePunct/>
              <w:spacing w:line="360" w:lineRule="auto"/>
              <w:jc w:val="left"/>
              <w:rPr>
                <w:rFonts w:hint="eastAsia" w:ascii="宋体" w:hAnsi="宋体" w:cs="宋体"/>
                <w:snapToGrid w:val="0"/>
                <w:kern w:val="0"/>
                <w:szCs w:val="21"/>
                <w:highlight w:val="none"/>
              </w:rPr>
            </w:pPr>
          </w:p>
        </w:tc>
        <w:tc>
          <w:tcPr>
            <w:tcW w:w="1427" w:type="dxa"/>
          </w:tcPr>
          <w:p w14:paraId="587EE1B2">
            <w:pPr>
              <w:topLinePunct/>
              <w:spacing w:line="360" w:lineRule="auto"/>
              <w:jc w:val="left"/>
              <w:rPr>
                <w:rFonts w:hint="eastAsia" w:ascii="宋体" w:hAnsi="宋体" w:cs="宋体"/>
                <w:snapToGrid w:val="0"/>
                <w:kern w:val="0"/>
                <w:szCs w:val="21"/>
                <w:highlight w:val="none"/>
              </w:rPr>
            </w:pPr>
          </w:p>
        </w:tc>
        <w:tc>
          <w:tcPr>
            <w:tcW w:w="1300" w:type="dxa"/>
          </w:tcPr>
          <w:p w14:paraId="16A53EB6">
            <w:pPr>
              <w:topLinePunct/>
              <w:spacing w:line="360" w:lineRule="auto"/>
              <w:jc w:val="left"/>
              <w:rPr>
                <w:rFonts w:hint="eastAsia" w:ascii="宋体" w:hAnsi="宋体" w:cs="宋体"/>
                <w:snapToGrid w:val="0"/>
                <w:kern w:val="0"/>
                <w:szCs w:val="21"/>
                <w:highlight w:val="none"/>
              </w:rPr>
            </w:pPr>
          </w:p>
        </w:tc>
        <w:tc>
          <w:tcPr>
            <w:tcW w:w="1343" w:type="dxa"/>
          </w:tcPr>
          <w:p w14:paraId="5C6385D0">
            <w:pPr>
              <w:topLinePunct/>
              <w:spacing w:line="360" w:lineRule="auto"/>
              <w:jc w:val="left"/>
              <w:rPr>
                <w:rFonts w:hint="eastAsia" w:ascii="宋体" w:hAnsi="宋体" w:cs="宋体"/>
                <w:snapToGrid w:val="0"/>
                <w:kern w:val="0"/>
                <w:szCs w:val="21"/>
                <w:highlight w:val="none"/>
              </w:rPr>
            </w:pPr>
          </w:p>
        </w:tc>
        <w:tc>
          <w:tcPr>
            <w:tcW w:w="1343" w:type="dxa"/>
          </w:tcPr>
          <w:p w14:paraId="71115127">
            <w:pPr>
              <w:topLinePunct/>
              <w:spacing w:line="360" w:lineRule="auto"/>
              <w:jc w:val="left"/>
              <w:rPr>
                <w:rFonts w:hint="eastAsia" w:ascii="宋体" w:hAnsi="宋体" w:cs="宋体"/>
                <w:snapToGrid w:val="0"/>
                <w:kern w:val="0"/>
                <w:szCs w:val="21"/>
                <w:highlight w:val="none"/>
              </w:rPr>
            </w:pPr>
          </w:p>
        </w:tc>
      </w:tr>
    </w:tbl>
    <w:p w14:paraId="3BD37A66">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（二）业绩情况简介表</w:t>
      </w:r>
    </w:p>
    <w:p w14:paraId="3B0B756B">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2"/>
        <w:gridCol w:w="6816"/>
      </w:tblGrid>
      <w:tr w14:paraId="1C8E9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41A465F5">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项目名称</w:t>
            </w:r>
          </w:p>
        </w:tc>
        <w:tc>
          <w:tcPr>
            <w:tcW w:w="6816" w:type="dxa"/>
          </w:tcPr>
          <w:p w14:paraId="5AE84AE8">
            <w:pPr>
              <w:topLinePunct/>
              <w:spacing w:line="360" w:lineRule="auto"/>
              <w:jc w:val="left"/>
              <w:rPr>
                <w:rFonts w:hint="eastAsia" w:ascii="宋体" w:hAnsi="宋体" w:cs="宋体"/>
                <w:snapToGrid w:val="0"/>
                <w:kern w:val="0"/>
                <w:szCs w:val="21"/>
                <w:highlight w:val="none"/>
              </w:rPr>
            </w:pPr>
          </w:p>
        </w:tc>
      </w:tr>
      <w:tr w14:paraId="5375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63CC43D">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项目所在地</w:t>
            </w:r>
          </w:p>
        </w:tc>
        <w:tc>
          <w:tcPr>
            <w:tcW w:w="6816" w:type="dxa"/>
          </w:tcPr>
          <w:p w14:paraId="04412D5C">
            <w:pPr>
              <w:topLinePunct/>
              <w:spacing w:line="360" w:lineRule="auto"/>
              <w:jc w:val="left"/>
              <w:rPr>
                <w:rFonts w:hint="eastAsia" w:ascii="宋体" w:hAnsi="宋体" w:cs="宋体"/>
                <w:snapToGrid w:val="0"/>
                <w:kern w:val="0"/>
                <w:szCs w:val="21"/>
                <w:highlight w:val="none"/>
              </w:rPr>
            </w:pPr>
          </w:p>
        </w:tc>
      </w:tr>
      <w:tr w14:paraId="79B7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67E129A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发包人名称</w:t>
            </w:r>
          </w:p>
        </w:tc>
        <w:tc>
          <w:tcPr>
            <w:tcW w:w="6816" w:type="dxa"/>
          </w:tcPr>
          <w:p w14:paraId="4407C907">
            <w:pPr>
              <w:topLinePunct/>
              <w:spacing w:line="360" w:lineRule="auto"/>
              <w:jc w:val="left"/>
              <w:rPr>
                <w:rFonts w:hint="eastAsia" w:ascii="宋体" w:hAnsi="宋体" w:cs="宋体"/>
                <w:snapToGrid w:val="0"/>
                <w:kern w:val="0"/>
                <w:szCs w:val="21"/>
                <w:highlight w:val="none"/>
              </w:rPr>
            </w:pPr>
          </w:p>
        </w:tc>
      </w:tr>
      <w:tr w14:paraId="23EB6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1AB0ACF">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发包人地址</w:t>
            </w:r>
          </w:p>
        </w:tc>
        <w:tc>
          <w:tcPr>
            <w:tcW w:w="6816" w:type="dxa"/>
          </w:tcPr>
          <w:p w14:paraId="39CA60AC">
            <w:pPr>
              <w:topLinePunct/>
              <w:spacing w:line="360" w:lineRule="auto"/>
              <w:jc w:val="left"/>
              <w:rPr>
                <w:rFonts w:hint="eastAsia" w:ascii="宋体" w:hAnsi="宋体" w:cs="宋体"/>
                <w:snapToGrid w:val="0"/>
                <w:kern w:val="0"/>
                <w:szCs w:val="21"/>
                <w:highlight w:val="none"/>
              </w:rPr>
            </w:pPr>
          </w:p>
        </w:tc>
      </w:tr>
      <w:tr w14:paraId="2F67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8BB8EF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发包人电话</w:t>
            </w:r>
          </w:p>
        </w:tc>
        <w:tc>
          <w:tcPr>
            <w:tcW w:w="6816" w:type="dxa"/>
          </w:tcPr>
          <w:p w14:paraId="6E683933">
            <w:pPr>
              <w:topLinePunct/>
              <w:spacing w:line="360" w:lineRule="auto"/>
              <w:jc w:val="left"/>
              <w:rPr>
                <w:rFonts w:hint="eastAsia" w:ascii="宋体" w:hAnsi="宋体" w:cs="宋体"/>
                <w:snapToGrid w:val="0"/>
                <w:kern w:val="0"/>
                <w:szCs w:val="21"/>
                <w:highlight w:val="none"/>
              </w:rPr>
            </w:pPr>
          </w:p>
        </w:tc>
      </w:tr>
      <w:tr w14:paraId="78317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6D3DBC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工程投资规模</w:t>
            </w:r>
          </w:p>
        </w:tc>
        <w:tc>
          <w:tcPr>
            <w:tcW w:w="6816" w:type="dxa"/>
          </w:tcPr>
          <w:p w14:paraId="28A25F5E">
            <w:pPr>
              <w:topLinePunct/>
              <w:spacing w:line="360" w:lineRule="auto"/>
              <w:jc w:val="left"/>
              <w:rPr>
                <w:rFonts w:hint="eastAsia" w:ascii="宋体" w:hAnsi="宋体" w:cs="宋体"/>
                <w:snapToGrid w:val="0"/>
                <w:kern w:val="0"/>
                <w:szCs w:val="21"/>
                <w:highlight w:val="none"/>
              </w:rPr>
            </w:pPr>
          </w:p>
        </w:tc>
      </w:tr>
      <w:tr w14:paraId="2EDE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C48E34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开竣工日期</w:t>
            </w:r>
          </w:p>
        </w:tc>
        <w:tc>
          <w:tcPr>
            <w:tcW w:w="6816" w:type="dxa"/>
          </w:tcPr>
          <w:p w14:paraId="3343108D">
            <w:pPr>
              <w:topLinePunct/>
              <w:spacing w:line="360" w:lineRule="auto"/>
              <w:jc w:val="left"/>
              <w:rPr>
                <w:rFonts w:hint="eastAsia" w:ascii="宋体" w:hAnsi="宋体" w:cs="宋体"/>
                <w:snapToGrid w:val="0"/>
                <w:kern w:val="0"/>
                <w:szCs w:val="21"/>
                <w:highlight w:val="none"/>
              </w:rPr>
            </w:pPr>
          </w:p>
        </w:tc>
      </w:tr>
      <w:tr w14:paraId="16FB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33661EE4">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承担的工作</w:t>
            </w:r>
          </w:p>
        </w:tc>
        <w:tc>
          <w:tcPr>
            <w:tcW w:w="6816" w:type="dxa"/>
          </w:tcPr>
          <w:p w14:paraId="6FBBE98A">
            <w:pPr>
              <w:topLinePunct/>
              <w:spacing w:line="360" w:lineRule="auto"/>
              <w:jc w:val="left"/>
              <w:rPr>
                <w:rFonts w:hint="eastAsia" w:ascii="宋体" w:hAnsi="宋体" w:cs="宋体"/>
                <w:snapToGrid w:val="0"/>
                <w:kern w:val="0"/>
                <w:szCs w:val="21"/>
                <w:highlight w:val="none"/>
              </w:rPr>
            </w:pPr>
          </w:p>
        </w:tc>
      </w:tr>
      <w:tr w14:paraId="31E3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4314D7D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工程质量</w:t>
            </w:r>
          </w:p>
        </w:tc>
        <w:tc>
          <w:tcPr>
            <w:tcW w:w="6816" w:type="dxa"/>
          </w:tcPr>
          <w:p w14:paraId="11A995C6">
            <w:pPr>
              <w:topLinePunct/>
              <w:spacing w:line="360" w:lineRule="auto"/>
              <w:jc w:val="left"/>
              <w:rPr>
                <w:rFonts w:hint="eastAsia" w:ascii="宋体" w:hAnsi="宋体" w:cs="宋体"/>
                <w:snapToGrid w:val="0"/>
                <w:kern w:val="0"/>
                <w:szCs w:val="21"/>
                <w:highlight w:val="none"/>
              </w:rPr>
            </w:pPr>
          </w:p>
        </w:tc>
      </w:tr>
      <w:tr w14:paraId="1CC05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7F322DE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项目经理</w:t>
            </w:r>
          </w:p>
        </w:tc>
        <w:tc>
          <w:tcPr>
            <w:tcW w:w="6816" w:type="dxa"/>
          </w:tcPr>
          <w:p w14:paraId="431877FF">
            <w:pPr>
              <w:topLinePunct/>
              <w:spacing w:line="360" w:lineRule="auto"/>
              <w:jc w:val="left"/>
              <w:rPr>
                <w:rFonts w:hint="eastAsia" w:ascii="宋体" w:hAnsi="宋体" w:cs="宋体"/>
                <w:snapToGrid w:val="0"/>
                <w:kern w:val="0"/>
                <w:szCs w:val="21"/>
                <w:highlight w:val="none"/>
              </w:rPr>
            </w:pPr>
          </w:p>
        </w:tc>
      </w:tr>
      <w:tr w14:paraId="72A5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952CB0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项目描述</w:t>
            </w:r>
          </w:p>
        </w:tc>
        <w:tc>
          <w:tcPr>
            <w:tcW w:w="6816" w:type="dxa"/>
          </w:tcPr>
          <w:p w14:paraId="18438DDB">
            <w:pPr>
              <w:topLinePunct/>
              <w:spacing w:line="360" w:lineRule="auto"/>
              <w:jc w:val="left"/>
              <w:rPr>
                <w:rFonts w:hint="eastAsia" w:ascii="宋体" w:hAnsi="宋体" w:cs="宋体"/>
                <w:snapToGrid w:val="0"/>
                <w:kern w:val="0"/>
                <w:szCs w:val="21"/>
                <w:highlight w:val="none"/>
              </w:rPr>
            </w:pPr>
          </w:p>
        </w:tc>
      </w:tr>
      <w:tr w14:paraId="13137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5FCADF2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c>
          <w:tcPr>
            <w:tcW w:w="6816" w:type="dxa"/>
          </w:tcPr>
          <w:p w14:paraId="04DFA6ED">
            <w:pPr>
              <w:topLinePunct/>
              <w:spacing w:line="360" w:lineRule="auto"/>
              <w:jc w:val="left"/>
              <w:rPr>
                <w:rFonts w:hint="eastAsia" w:ascii="宋体" w:hAnsi="宋体" w:cs="宋体"/>
                <w:snapToGrid w:val="0"/>
                <w:kern w:val="0"/>
                <w:szCs w:val="21"/>
                <w:highlight w:val="none"/>
              </w:rPr>
            </w:pPr>
          </w:p>
        </w:tc>
      </w:tr>
    </w:tbl>
    <w:p w14:paraId="6CE461FF">
      <w:pPr>
        <w:jc w:val="left"/>
        <w:rPr>
          <w:rFonts w:hint="eastAsia" w:ascii="宋体" w:hAnsi="宋体" w:cs="宋体"/>
          <w:highlight w:val="none"/>
        </w:rPr>
      </w:pPr>
      <w:r>
        <w:rPr>
          <w:rFonts w:hint="eastAsia" w:ascii="宋体" w:hAnsi="宋体" w:cs="宋体"/>
          <w:highlight w:val="none"/>
        </w:rPr>
        <w:br w:type="page"/>
      </w:r>
    </w:p>
    <w:p w14:paraId="436BA8FA">
      <w:pPr>
        <w:spacing w:before="143" w:beforeLines="50" w:after="286" w:afterLines="100" w:line="440" w:lineRule="exact"/>
        <w:ind w:right="420"/>
        <w:jc w:val="center"/>
        <w:outlineLvl w:val="0"/>
        <w:rPr>
          <w:rFonts w:hint="eastAsia" w:ascii="宋体" w:hAnsi="宋体" w:cs="宋体"/>
          <w:sz w:val="28"/>
          <w:szCs w:val="28"/>
          <w:highlight w:val="none"/>
        </w:rPr>
      </w:pPr>
      <w:bookmarkStart w:id="402" w:name="_Toc93404039"/>
      <w:bookmarkStart w:id="403" w:name="_Hlk180669270"/>
      <w:r>
        <w:rPr>
          <w:rFonts w:hint="eastAsia" w:ascii="宋体" w:hAnsi="宋体" w:cs="宋体"/>
          <w:sz w:val="28"/>
          <w:szCs w:val="28"/>
          <w:highlight w:val="none"/>
          <w:lang w:val="en-US" w:eastAsia="zh-CN"/>
        </w:rPr>
        <w:t>九</w:t>
      </w:r>
      <w:r>
        <w:rPr>
          <w:rFonts w:hint="eastAsia" w:ascii="宋体" w:hAnsi="宋体" w:cs="宋体"/>
          <w:sz w:val="28"/>
          <w:szCs w:val="28"/>
          <w:highlight w:val="none"/>
        </w:rPr>
        <w:t>、拟分包计划表</w:t>
      </w:r>
      <w:bookmarkEnd w:id="402"/>
    </w:p>
    <w:tbl>
      <w:tblPr>
        <w:tblStyle w:val="34"/>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983"/>
      </w:tblGrid>
      <w:tr w14:paraId="220D8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143E5A89">
            <w:pPr>
              <w:jc w:val="left"/>
              <w:rPr>
                <w:rFonts w:hint="eastAsia" w:ascii="宋体" w:hAnsi="宋体" w:cs="宋体"/>
                <w:szCs w:val="21"/>
                <w:highlight w:val="none"/>
              </w:rPr>
            </w:pPr>
            <w:r>
              <w:rPr>
                <w:rFonts w:hint="eastAsia" w:ascii="宋体" w:hAnsi="宋体" w:cs="宋体"/>
                <w:szCs w:val="21"/>
                <w:highlight w:val="none"/>
              </w:rPr>
              <w:t>序</w:t>
            </w:r>
          </w:p>
          <w:p w14:paraId="3723F9D6">
            <w:pPr>
              <w:jc w:val="left"/>
              <w:rPr>
                <w:rFonts w:hint="eastAsia" w:ascii="宋体" w:hAnsi="宋体" w:cs="宋体"/>
                <w:szCs w:val="21"/>
                <w:highlight w:val="none"/>
              </w:rPr>
            </w:pPr>
            <w:r>
              <w:rPr>
                <w:rFonts w:hint="eastAsia" w:ascii="宋体" w:hAnsi="宋体" w:cs="宋体"/>
                <w:szCs w:val="21"/>
                <w:highlight w:val="none"/>
              </w:rPr>
              <w:t>号</w:t>
            </w:r>
          </w:p>
        </w:tc>
        <w:tc>
          <w:tcPr>
            <w:tcW w:w="1843" w:type="dxa"/>
            <w:vMerge w:val="restart"/>
            <w:tcMar>
              <w:left w:w="108" w:type="dxa"/>
              <w:right w:w="108" w:type="dxa"/>
            </w:tcMar>
            <w:vAlign w:val="center"/>
          </w:tcPr>
          <w:p w14:paraId="7A3445D4">
            <w:pPr>
              <w:jc w:val="left"/>
              <w:rPr>
                <w:rFonts w:hint="eastAsia" w:ascii="宋体" w:hAnsi="宋体" w:cs="宋体"/>
                <w:szCs w:val="21"/>
                <w:highlight w:val="none"/>
              </w:rPr>
            </w:pPr>
            <w:r>
              <w:rPr>
                <w:rFonts w:hint="eastAsia" w:ascii="宋体" w:hAnsi="宋体" w:cs="宋体"/>
                <w:szCs w:val="21"/>
                <w:highlight w:val="none"/>
              </w:rPr>
              <w:t>拟分包项目名称、范围及理由</w:t>
            </w:r>
          </w:p>
        </w:tc>
        <w:tc>
          <w:tcPr>
            <w:tcW w:w="5111" w:type="dxa"/>
            <w:gridSpan w:val="5"/>
            <w:tcMar>
              <w:left w:w="108" w:type="dxa"/>
              <w:right w:w="108" w:type="dxa"/>
            </w:tcMar>
            <w:vAlign w:val="center"/>
          </w:tcPr>
          <w:p w14:paraId="4267D3F8">
            <w:pPr>
              <w:jc w:val="left"/>
              <w:rPr>
                <w:rFonts w:hint="eastAsia" w:ascii="宋体" w:hAnsi="宋体" w:cs="宋体"/>
                <w:szCs w:val="21"/>
                <w:highlight w:val="none"/>
              </w:rPr>
            </w:pPr>
            <w:r>
              <w:rPr>
                <w:rFonts w:hint="eastAsia" w:ascii="宋体" w:hAnsi="宋体" w:cs="宋体"/>
                <w:szCs w:val="21"/>
                <w:highlight w:val="none"/>
              </w:rPr>
              <w:t>拟选分包人</w:t>
            </w:r>
          </w:p>
        </w:tc>
        <w:tc>
          <w:tcPr>
            <w:tcW w:w="983" w:type="dxa"/>
            <w:vMerge w:val="restart"/>
            <w:tcMar>
              <w:left w:w="108" w:type="dxa"/>
              <w:right w:w="108" w:type="dxa"/>
            </w:tcMar>
            <w:vAlign w:val="center"/>
          </w:tcPr>
          <w:p w14:paraId="243BB7F9">
            <w:pPr>
              <w:jc w:val="left"/>
              <w:rPr>
                <w:rFonts w:hint="eastAsia" w:ascii="宋体" w:hAnsi="宋体" w:cs="宋体"/>
                <w:szCs w:val="21"/>
                <w:highlight w:val="none"/>
              </w:rPr>
            </w:pPr>
            <w:r>
              <w:rPr>
                <w:rFonts w:hint="eastAsia" w:ascii="宋体" w:hAnsi="宋体" w:cs="宋体"/>
                <w:szCs w:val="21"/>
                <w:highlight w:val="none"/>
              </w:rPr>
              <w:t>备注</w:t>
            </w:r>
          </w:p>
        </w:tc>
      </w:tr>
      <w:tr w14:paraId="0968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7D0D2E80">
            <w:pPr>
              <w:jc w:val="left"/>
              <w:rPr>
                <w:rFonts w:hint="eastAsia" w:ascii="宋体" w:hAnsi="宋体" w:cs="宋体"/>
                <w:szCs w:val="21"/>
                <w:highlight w:val="none"/>
              </w:rPr>
            </w:pPr>
          </w:p>
        </w:tc>
        <w:tc>
          <w:tcPr>
            <w:tcW w:w="1843" w:type="dxa"/>
            <w:vMerge w:val="continue"/>
            <w:tcMar>
              <w:left w:w="108" w:type="dxa"/>
              <w:right w:w="108" w:type="dxa"/>
            </w:tcMar>
            <w:vAlign w:val="center"/>
          </w:tcPr>
          <w:p w14:paraId="7DBDCD8C">
            <w:pPr>
              <w:jc w:val="left"/>
              <w:rPr>
                <w:rFonts w:hint="eastAsia" w:ascii="宋体" w:hAnsi="宋体" w:cs="宋体"/>
                <w:szCs w:val="21"/>
                <w:highlight w:val="none"/>
              </w:rPr>
            </w:pPr>
          </w:p>
        </w:tc>
        <w:tc>
          <w:tcPr>
            <w:tcW w:w="1701" w:type="dxa"/>
            <w:gridSpan w:val="2"/>
            <w:tcMar>
              <w:left w:w="108" w:type="dxa"/>
              <w:right w:w="108" w:type="dxa"/>
            </w:tcMar>
            <w:vAlign w:val="center"/>
          </w:tcPr>
          <w:p w14:paraId="7583672C">
            <w:pPr>
              <w:jc w:val="left"/>
              <w:rPr>
                <w:rFonts w:hint="eastAsia" w:ascii="宋体" w:hAnsi="宋体" w:cs="宋体"/>
                <w:szCs w:val="21"/>
                <w:highlight w:val="none"/>
              </w:rPr>
            </w:pPr>
            <w:r>
              <w:rPr>
                <w:rFonts w:hint="eastAsia" w:ascii="宋体" w:hAnsi="宋体" w:cs="宋体"/>
                <w:szCs w:val="21"/>
                <w:highlight w:val="none"/>
              </w:rPr>
              <w:t>拟选分包人名称</w:t>
            </w:r>
          </w:p>
        </w:tc>
        <w:tc>
          <w:tcPr>
            <w:tcW w:w="1123" w:type="dxa"/>
            <w:tcMar>
              <w:left w:w="108" w:type="dxa"/>
              <w:right w:w="108" w:type="dxa"/>
            </w:tcMar>
            <w:vAlign w:val="center"/>
          </w:tcPr>
          <w:p w14:paraId="4D19F1CE">
            <w:pPr>
              <w:jc w:val="left"/>
              <w:rPr>
                <w:rFonts w:hint="eastAsia" w:ascii="宋体" w:hAnsi="宋体" w:cs="宋体"/>
                <w:szCs w:val="21"/>
                <w:highlight w:val="none"/>
              </w:rPr>
            </w:pPr>
            <w:r>
              <w:rPr>
                <w:rFonts w:hint="eastAsia" w:ascii="宋体" w:hAnsi="宋体" w:cs="宋体"/>
                <w:szCs w:val="21"/>
                <w:highlight w:val="none"/>
              </w:rPr>
              <w:t>注册地点</w:t>
            </w:r>
          </w:p>
        </w:tc>
        <w:tc>
          <w:tcPr>
            <w:tcW w:w="1090" w:type="dxa"/>
            <w:tcMar>
              <w:left w:w="108" w:type="dxa"/>
              <w:right w:w="108" w:type="dxa"/>
            </w:tcMar>
            <w:vAlign w:val="center"/>
          </w:tcPr>
          <w:p w14:paraId="775E382F">
            <w:pPr>
              <w:jc w:val="left"/>
              <w:rPr>
                <w:rFonts w:hint="eastAsia" w:ascii="宋体" w:hAnsi="宋体" w:cs="宋体"/>
                <w:szCs w:val="21"/>
                <w:highlight w:val="none"/>
              </w:rPr>
            </w:pPr>
            <w:r>
              <w:rPr>
                <w:rFonts w:hint="eastAsia" w:ascii="宋体" w:hAnsi="宋体" w:cs="宋体"/>
                <w:szCs w:val="21"/>
                <w:highlight w:val="none"/>
              </w:rPr>
              <w:t>企业资质</w:t>
            </w:r>
          </w:p>
        </w:tc>
        <w:tc>
          <w:tcPr>
            <w:tcW w:w="1197" w:type="dxa"/>
            <w:tcMar>
              <w:left w:w="108" w:type="dxa"/>
              <w:right w:w="108" w:type="dxa"/>
            </w:tcMar>
            <w:vAlign w:val="center"/>
          </w:tcPr>
          <w:p w14:paraId="749E66CC">
            <w:pPr>
              <w:jc w:val="left"/>
              <w:rPr>
                <w:rFonts w:hint="eastAsia" w:ascii="宋体" w:hAnsi="宋体" w:cs="宋体"/>
                <w:szCs w:val="21"/>
                <w:highlight w:val="none"/>
              </w:rPr>
            </w:pPr>
            <w:r>
              <w:rPr>
                <w:rFonts w:hint="eastAsia" w:ascii="宋体" w:hAnsi="宋体" w:cs="宋体"/>
                <w:szCs w:val="21"/>
                <w:highlight w:val="none"/>
              </w:rPr>
              <w:t>有关业绩</w:t>
            </w:r>
          </w:p>
        </w:tc>
        <w:tc>
          <w:tcPr>
            <w:tcW w:w="983" w:type="dxa"/>
            <w:vMerge w:val="continue"/>
            <w:tcMar>
              <w:left w:w="108" w:type="dxa"/>
              <w:right w:w="108" w:type="dxa"/>
            </w:tcMar>
            <w:vAlign w:val="center"/>
          </w:tcPr>
          <w:p w14:paraId="7BDA8688">
            <w:pPr>
              <w:jc w:val="left"/>
              <w:rPr>
                <w:rFonts w:hint="eastAsia" w:ascii="宋体" w:hAnsi="宋体" w:cs="宋体"/>
                <w:szCs w:val="21"/>
                <w:highlight w:val="none"/>
              </w:rPr>
            </w:pPr>
          </w:p>
        </w:tc>
      </w:tr>
      <w:tr w14:paraId="6364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79EC113E">
            <w:pPr>
              <w:jc w:val="left"/>
              <w:rPr>
                <w:rFonts w:hint="eastAsia" w:ascii="宋体" w:hAnsi="宋体" w:cs="宋体"/>
                <w:szCs w:val="21"/>
                <w:highlight w:val="none"/>
              </w:rPr>
            </w:pPr>
          </w:p>
        </w:tc>
        <w:tc>
          <w:tcPr>
            <w:tcW w:w="1843" w:type="dxa"/>
            <w:vMerge w:val="restart"/>
            <w:tcMar>
              <w:left w:w="108" w:type="dxa"/>
              <w:right w:w="108" w:type="dxa"/>
            </w:tcMar>
            <w:vAlign w:val="center"/>
          </w:tcPr>
          <w:p w14:paraId="705E612B">
            <w:pPr>
              <w:jc w:val="left"/>
              <w:rPr>
                <w:rFonts w:hint="eastAsia" w:ascii="宋体" w:hAnsi="宋体" w:cs="宋体"/>
                <w:szCs w:val="21"/>
                <w:highlight w:val="none"/>
              </w:rPr>
            </w:pPr>
          </w:p>
        </w:tc>
        <w:tc>
          <w:tcPr>
            <w:tcW w:w="751" w:type="dxa"/>
            <w:tcMar>
              <w:left w:w="108" w:type="dxa"/>
              <w:right w:w="108" w:type="dxa"/>
            </w:tcMar>
            <w:vAlign w:val="center"/>
          </w:tcPr>
          <w:p w14:paraId="6FC2B351">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B661EA4">
            <w:pPr>
              <w:jc w:val="left"/>
              <w:rPr>
                <w:rFonts w:hint="eastAsia" w:ascii="宋体" w:hAnsi="宋体" w:cs="宋体"/>
                <w:szCs w:val="21"/>
                <w:highlight w:val="none"/>
              </w:rPr>
            </w:pPr>
          </w:p>
        </w:tc>
        <w:tc>
          <w:tcPr>
            <w:tcW w:w="1123" w:type="dxa"/>
            <w:tcMar>
              <w:left w:w="108" w:type="dxa"/>
              <w:right w:w="108" w:type="dxa"/>
            </w:tcMar>
            <w:vAlign w:val="center"/>
          </w:tcPr>
          <w:p w14:paraId="37B248EE">
            <w:pPr>
              <w:jc w:val="left"/>
              <w:rPr>
                <w:rFonts w:hint="eastAsia" w:ascii="宋体" w:hAnsi="宋体" w:cs="宋体"/>
                <w:szCs w:val="21"/>
                <w:highlight w:val="none"/>
              </w:rPr>
            </w:pPr>
          </w:p>
        </w:tc>
        <w:tc>
          <w:tcPr>
            <w:tcW w:w="1090" w:type="dxa"/>
            <w:tcMar>
              <w:left w:w="108" w:type="dxa"/>
              <w:right w:w="108" w:type="dxa"/>
            </w:tcMar>
            <w:vAlign w:val="center"/>
          </w:tcPr>
          <w:p w14:paraId="4DA493A6">
            <w:pPr>
              <w:jc w:val="left"/>
              <w:rPr>
                <w:rFonts w:hint="eastAsia" w:ascii="宋体" w:hAnsi="宋体" w:cs="宋体"/>
                <w:szCs w:val="21"/>
                <w:highlight w:val="none"/>
              </w:rPr>
            </w:pPr>
          </w:p>
        </w:tc>
        <w:tc>
          <w:tcPr>
            <w:tcW w:w="1197" w:type="dxa"/>
            <w:tcMar>
              <w:left w:w="108" w:type="dxa"/>
              <w:right w:w="108" w:type="dxa"/>
            </w:tcMar>
            <w:vAlign w:val="center"/>
          </w:tcPr>
          <w:p w14:paraId="3DC12231">
            <w:pPr>
              <w:jc w:val="left"/>
              <w:rPr>
                <w:rFonts w:hint="eastAsia" w:ascii="宋体" w:hAnsi="宋体" w:cs="宋体"/>
                <w:szCs w:val="21"/>
                <w:highlight w:val="none"/>
              </w:rPr>
            </w:pPr>
          </w:p>
        </w:tc>
        <w:tc>
          <w:tcPr>
            <w:tcW w:w="983" w:type="dxa"/>
            <w:tcMar>
              <w:left w:w="108" w:type="dxa"/>
              <w:right w:w="108" w:type="dxa"/>
            </w:tcMar>
            <w:vAlign w:val="center"/>
          </w:tcPr>
          <w:p w14:paraId="3549984E">
            <w:pPr>
              <w:jc w:val="left"/>
              <w:rPr>
                <w:rFonts w:hint="eastAsia" w:ascii="宋体" w:hAnsi="宋体" w:cs="宋体"/>
                <w:szCs w:val="21"/>
                <w:highlight w:val="none"/>
              </w:rPr>
            </w:pPr>
          </w:p>
        </w:tc>
      </w:tr>
      <w:tr w14:paraId="0D9F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28832C2A">
            <w:pPr>
              <w:jc w:val="left"/>
              <w:rPr>
                <w:rFonts w:hint="eastAsia" w:ascii="宋体" w:hAnsi="宋体" w:cs="宋体"/>
                <w:szCs w:val="21"/>
                <w:highlight w:val="none"/>
              </w:rPr>
            </w:pPr>
          </w:p>
        </w:tc>
        <w:tc>
          <w:tcPr>
            <w:tcW w:w="1843" w:type="dxa"/>
            <w:vMerge w:val="continue"/>
            <w:tcMar>
              <w:left w:w="108" w:type="dxa"/>
              <w:right w:w="108" w:type="dxa"/>
            </w:tcMar>
            <w:vAlign w:val="center"/>
          </w:tcPr>
          <w:p w14:paraId="4B420812">
            <w:pPr>
              <w:jc w:val="left"/>
              <w:rPr>
                <w:rFonts w:hint="eastAsia" w:ascii="宋体" w:hAnsi="宋体" w:cs="宋体"/>
                <w:szCs w:val="21"/>
                <w:highlight w:val="none"/>
              </w:rPr>
            </w:pPr>
          </w:p>
        </w:tc>
        <w:tc>
          <w:tcPr>
            <w:tcW w:w="751" w:type="dxa"/>
            <w:tcMar>
              <w:left w:w="108" w:type="dxa"/>
              <w:right w:w="108" w:type="dxa"/>
            </w:tcMar>
            <w:vAlign w:val="center"/>
          </w:tcPr>
          <w:p w14:paraId="3F3C78F3">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0DF8D706">
            <w:pPr>
              <w:jc w:val="left"/>
              <w:rPr>
                <w:rFonts w:hint="eastAsia" w:ascii="宋体" w:hAnsi="宋体" w:cs="宋体"/>
                <w:szCs w:val="21"/>
                <w:highlight w:val="none"/>
              </w:rPr>
            </w:pPr>
          </w:p>
        </w:tc>
        <w:tc>
          <w:tcPr>
            <w:tcW w:w="1123" w:type="dxa"/>
            <w:tcMar>
              <w:left w:w="108" w:type="dxa"/>
              <w:right w:w="108" w:type="dxa"/>
            </w:tcMar>
            <w:vAlign w:val="center"/>
          </w:tcPr>
          <w:p w14:paraId="1E5DC55E">
            <w:pPr>
              <w:jc w:val="left"/>
              <w:rPr>
                <w:rFonts w:hint="eastAsia" w:ascii="宋体" w:hAnsi="宋体" w:cs="宋体"/>
                <w:szCs w:val="21"/>
                <w:highlight w:val="none"/>
              </w:rPr>
            </w:pPr>
          </w:p>
        </w:tc>
        <w:tc>
          <w:tcPr>
            <w:tcW w:w="1090" w:type="dxa"/>
            <w:tcMar>
              <w:left w:w="108" w:type="dxa"/>
              <w:right w:w="108" w:type="dxa"/>
            </w:tcMar>
            <w:vAlign w:val="center"/>
          </w:tcPr>
          <w:p w14:paraId="0E6965DE">
            <w:pPr>
              <w:jc w:val="left"/>
              <w:rPr>
                <w:rFonts w:hint="eastAsia" w:ascii="宋体" w:hAnsi="宋体" w:cs="宋体"/>
                <w:szCs w:val="21"/>
                <w:highlight w:val="none"/>
              </w:rPr>
            </w:pPr>
          </w:p>
        </w:tc>
        <w:tc>
          <w:tcPr>
            <w:tcW w:w="1197" w:type="dxa"/>
            <w:tcMar>
              <w:left w:w="108" w:type="dxa"/>
              <w:right w:w="108" w:type="dxa"/>
            </w:tcMar>
            <w:vAlign w:val="center"/>
          </w:tcPr>
          <w:p w14:paraId="7C75AA65">
            <w:pPr>
              <w:jc w:val="left"/>
              <w:rPr>
                <w:rFonts w:hint="eastAsia" w:ascii="宋体" w:hAnsi="宋体" w:cs="宋体"/>
                <w:szCs w:val="21"/>
                <w:highlight w:val="none"/>
              </w:rPr>
            </w:pPr>
          </w:p>
        </w:tc>
        <w:tc>
          <w:tcPr>
            <w:tcW w:w="983" w:type="dxa"/>
            <w:tcMar>
              <w:left w:w="108" w:type="dxa"/>
              <w:right w:w="108" w:type="dxa"/>
            </w:tcMar>
            <w:vAlign w:val="center"/>
          </w:tcPr>
          <w:p w14:paraId="4916E019">
            <w:pPr>
              <w:jc w:val="left"/>
              <w:rPr>
                <w:rFonts w:hint="eastAsia" w:ascii="宋体" w:hAnsi="宋体" w:cs="宋体"/>
                <w:szCs w:val="21"/>
                <w:highlight w:val="none"/>
              </w:rPr>
            </w:pPr>
          </w:p>
        </w:tc>
      </w:tr>
      <w:tr w14:paraId="0AE2B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4E0EBC8B">
            <w:pPr>
              <w:jc w:val="left"/>
              <w:rPr>
                <w:rFonts w:hint="eastAsia" w:ascii="宋体" w:hAnsi="宋体" w:cs="宋体"/>
                <w:szCs w:val="21"/>
                <w:highlight w:val="none"/>
              </w:rPr>
            </w:pPr>
          </w:p>
        </w:tc>
        <w:tc>
          <w:tcPr>
            <w:tcW w:w="1843" w:type="dxa"/>
            <w:vMerge w:val="continue"/>
            <w:tcMar>
              <w:left w:w="108" w:type="dxa"/>
              <w:right w:w="108" w:type="dxa"/>
            </w:tcMar>
            <w:vAlign w:val="center"/>
          </w:tcPr>
          <w:p w14:paraId="2663F8FD">
            <w:pPr>
              <w:jc w:val="left"/>
              <w:rPr>
                <w:rFonts w:hint="eastAsia" w:ascii="宋体" w:hAnsi="宋体" w:cs="宋体"/>
                <w:szCs w:val="21"/>
                <w:highlight w:val="none"/>
              </w:rPr>
            </w:pPr>
          </w:p>
        </w:tc>
        <w:tc>
          <w:tcPr>
            <w:tcW w:w="751" w:type="dxa"/>
            <w:tcMar>
              <w:left w:w="108" w:type="dxa"/>
              <w:right w:w="108" w:type="dxa"/>
            </w:tcMar>
            <w:vAlign w:val="center"/>
          </w:tcPr>
          <w:p w14:paraId="6453C93D">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7D5C265D">
            <w:pPr>
              <w:jc w:val="left"/>
              <w:rPr>
                <w:rFonts w:hint="eastAsia" w:ascii="宋体" w:hAnsi="宋体" w:cs="宋体"/>
                <w:szCs w:val="21"/>
                <w:highlight w:val="none"/>
              </w:rPr>
            </w:pPr>
          </w:p>
        </w:tc>
        <w:tc>
          <w:tcPr>
            <w:tcW w:w="1123" w:type="dxa"/>
            <w:tcMar>
              <w:left w:w="108" w:type="dxa"/>
              <w:right w:w="108" w:type="dxa"/>
            </w:tcMar>
            <w:vAlign w:val="center"/>
          </w:tcPr>
          <w:p w14:paraId="5338ABA1">
            <w:pPr>
              <w:jc w:val="left"/>
              <w:rPr>
                <w:rFonts w:hint="eastAsia" w:ascii="宋体" w:hAnsi="宋体" w:cs="宋体"/>
                <w:szCs w:val="21"/>
                <w:highlight w:val="none"/>
              </w:rPr>
            </w:pPr>
          </w:p>
        </w:tc>
        <w:tc>
          <w:tcPr>
            <w:tcW w:w="1090" w:type="dxa"/>
            <w:tcMar>
              <w:left w:w="108" w:type="dxa"/>
              <w:right w:w="108" w:type="dxa"/>
            </w:tcMar>
            <w:vAlign w:val="center"/>
          </w:tcPr>
          <w:p w14:paraId="401D246B">
            <w:pPr>
              <w:jc w:val="left"/>
              <w:rPr>
                <w:rFonts w:hint="eastAsia" w:ascii="宋体" w:hAnsi="宋体" w:cs="宋体"/>
                <w:szCs w:val="21"/>
                <w:highlight w:val="none"/>
              </w:rPr>
            </w:pPr>
          </w:p>
        </w:tc>
        <w:tc>
          <w:tcPr>
            <w:tcW w:w="1197" w:type="dxa"/>
            <w:tcMar>
              <w:left w:w="108" w:type="dxa"/>
              <w:right w:w="108" w:type="dxa"/>
            </w:tcMar>
            <w:vAlign w:val="center"/>
          </w:tcPr>
          <w:p w14:paraId="390AEA0C">
            <w:pPr>
              <w:jc w:val="left"/>
              <w:rPr>
                <w:rFonts w:hint="eastAsia" w:ascii="宋体" w:hAnsi="宋体" w:cs="宋体"/>
                <w:szCs w:val="21"/>
                <w:highlight w:val="none"/>
              </w:rPr>
            </w:pPr>
          </w:p>
        </w:tc>
        <w:tc>
          <w:tcPr>
            <w:tcW w:w="983" w:type="dxa"/>
            <w:tcMar>
              <w:left w:w="108" w:type="dxa"/>
              <w:right w:w="108" w:type="dxa"/>
            </w:tcMar>
            <w:vAlign w:val="center"/>
          </w:tcPr>
          <w:p w14:paraId="72C1ABA4">
            <w:pPr>
              <w:jc w:val="left"/>
              <w:rPr>
                <w:rFonts w:hint="eastAsia" w:ascii="宋体" w:hAnsi="宋体" w:cs="宋体"/>
                <w:szCs w:val="21"/>
                <w:highlight w:val="none"/>
              </w:rPr>
            </w:pPr>
          </w:p>
        </w:tc>
      </w:tr>
      <w:tr w14:paraId="67A1F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36C34AE3">
            <w:pPr>
              <w:jc w:val="left"/>
              <w:rPr>
                <w:rFonts w:hint="eastAsia" w:ascii="宋体" w:hAnsi="宋体" w:cs="宋体"/>
                <w:szCs w:val="21"/>
                <w:highlight w:val="none"/>
              </w:rPr>
            </w:pPr>
          </w:p>
        </w:tc>
        <w:tc>
          <w:tcPr>
            <w:tcW w:w="1843" w:type="dxa"/>
            <w:vMerge w:val="restart"/>
            <w:tcMar>
              <w:left w:w="108" w:type="dxa"/>
              <w:right w:w="108" w:type="dxa"/>
            </w:tcMar>
            <w:vAlign w:val="center"/>
          </w:tcPr>
          <w:p w14:paraId="7D1CC5EC">
            <w:pPr>
              <w:jc w:val="left"/>
              <w:rPr>
                <w:rFonts w:hint="eastAsia" w:ascii="宋体" w:hAnsi="宋体" w:cs="宋体"/>
                <w:szCs w:val="21"/>
                <w:highlight w:val="none"/>
              </w:rPr>
            </w:pPr>
          </w:p>
        </w:tc>
        <w:tc>
          <w:tcPr>
            <w:tcW w:w="751" w:type="dxa"/>
            <w:tcMar>
              <w:left w:w="108" w:type="dxa"/>
              <w:right w:w="108" w:type="dxa"/>
            </w:tcMar>
            <w:vAlign w:val="center"/>
          </w:tcPr>
          <w:p w14:paraId="53E1D84F">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A3425FE">
            <w:pPr>
              <w:jc w:val="left"/>
              <w:rPr>
                <w:rFonts w:hint="eastAsia" w:ascii="宋体" w:hAnsi="宋体" w:cs="宋体"/>
                <w:szCs w:val="21"/>
                <w:highlight w:val="none"/>
              </w:rPr>
            </w:pPr>
          </w:p>
        </w:tc>
        <w:tc>
          <w:tcPr>
            <w:tcW w:w="1123" w:type="dxa"/>
            <w:tcMar>
              <w:left w:w="108" w:type="dxa"/>
              <w:right w:w="108" w:type="dxa"/>
            </w:tcMar>
            <w:vAlign w:val="center"/>
          </w:tcPr>
          <w:p w14:paraId="5DA24C33">
            <w:pPr>
              <w:jc w:val="left"/>
              <w:rPr>
                <w:rFonts w:hint="eastAsia" w:ascii="宋体" w:hAnsi="宋体" w:cs="宋体"/>
                <w:szCs w:val="21"/>
                <w:highlight w:val="none"/>
              </w:rPr>
            </w:pPr>
          </w:p>
        </w:tc>
        <w:tc>
          <w:tcPr>
            <w:tcW w:w="1090" w:type="dxa"/>
            <w:tcMar>
              <w:left w:w="108" w:type="dxa"/>
              <w:right w:w="108" w:type="dxa"/>
            </w:tcMar>
            <w:vAlign w:val="center"/>
          </w:tcPr>
          <w:p w14:paraId="365232F2">
            <w:pPr>
              <w:jc w:val="left"/>
              <w:rPr>
                <w:rFonts w:hint="eastAsia" w:ascii="宋体" w:hAnsi="宋体" w:cs="宋体"/>
                <w:szCs w:val="21"/>
                <w:highlight w:val="none"/>
              </w:rPr>
            </w:pPr>
          </w:p>
        </w:tc>
        <w:tc>
          <w:tcPr>
            <w:tcW w:w="1197" w:type="dxa"/>
            <w:tcMar>
              <w:left w:w="108" w:type="dxa"/>
              <w:right w:w="108" w:type="dxa"/>
            </w:tcMar>
            <w:vAlign w:val="center"/>
          </w:tcPr>
          <w:p w14:paraId="0A792F68">
            <w:pPr>
              <w:jc w:val="left"/>
              <w:rPr>
                <w:rFonts w:hint="eastAsia" w:ascii="宋体" w:hAnsi="宋体" w:cs="宋体"/>
                <w:szCs w:val="21"/>
                <w:highlight w:val="none"/>
              </w:rPr>
            </w:pPr>
          </w:p>
        </w:tc>
        <w:tc>
          <w:tcPr>
            <w:tcW w:w="983" w:type="dxa"/>
            <w:tcMar>
              <w:left w:w="108" w:type="dxa"/>
              <w:right w:w="108" w:type="dxa"/>
            </w:tcMar>
            <w:vAlign w:val="center"/>
          </w:tcPr>
          <w:p w14:paraId="661C52D0">
            <w:pPr>
              <w:jc w:val="left"/>
              <w:rPr>
                <w:rFonts w:hint="eastAsia" w:ascii="宋体" w:hAnsi="宋体" w:cs="宋体"/>
                <w:szCs w:val="21"/>
                <w:highlight w:val="none"/>
              </w:rPr>
            </w:pPr>
          </w:p>
        </w:tc>
      </w:tr>
      <w:tr w14:paraId="22C91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4ACB9878">
            <w:pPr>
              <w:jc w:val="left"/>
              <w:rPr>
                <w:rFonts w:hint="eastAsia" w:ascii="宋体" w:hAnsi="宋体" w:cs="宋体"/>
                <w:szCs w:val="21"/>
                <w:highlight w:val="none"/>
              </w:rPr>
            </w:pPr>
          </w:p>
        </w:tc>
        <w:tc>
          <w:tcPr>
            <w:tcW w:w="1843" w:type="dxa"/>
            <w:vMerge w:val="continue"/>
            <w:tcMar>
              <w:left w:w="108" w:type="dxa"/>
              <w:right w:w="108" w:type="dxa"/>
            </w:tcMar>
            <w:vAlign w:val="center"/>
          </w:tcPr>
          <w:p w14:paraId="7FA51F56">
            <w:pPr>
              <w:jc w:val="left"/>
              <w:rPr>
                <w:rFonts w:hint="eastAsia" w:ascii="宋体" w:hAnsi="宋体" w:cs="宋体"/>
                <w:szCs w:val="21"/>
                <w:highlight w:val="none"/>
              </w:rPr>
            </w:pPr>
          </w:p>
        </w:tc>
        <w:tc>
          <w:tcPr>
            <w:tcW w:w="751" w:type="dxa"/>
            <w:tcMar>
              <w:left w:w="108" w:type="dxa"/>
              <w:right w:w="108" w:type="dxa"/>
            </w:tcMar>
            <w:vAlign w:val="center"/>
          </w:tcPr>
          <w:p w14:paraId="7CB02E15">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0DE4E7F9">
            <w:pPr>
              <w:jc w:val="left"/>
              <w:rPr>
                <w:rFonts w:hint="eastAsia" w:ascii="宋体" w:hAnsi="宋体" w:cs="宋体"/>
                <w:szCs w:val="21"/>
                <w:highlight w:val="none"/>
              </w:rPr>
            </w:pPr>
          </w:p>
        </w:tc>
        <w:tc>
          <w:tcPr>
            <w:tcW w:w="1123" w:type="dxa"/>
            <w:tcMar>
              <w:left w:w="108" w:type="dxa"/>
              <w:right w:w="108" w:type="dxa"/>
            </w:tcMar>
            <w:vAlign w:val="center"/>
          </w:tcPr>
          <w:p w14:paraId="21A3F72D">
            <w:pPr>
              <w:jc w:val="left"/>
              <w:rPr>
                <w:rFonts w:hint="eastAsia" w:ascii="宋体" w:hAnsi="宋体" w:cs="宋体"/>
                <w:szCs w:val="21"/>
                <w:highlight w:val="none"/>
              </w:rPr>
            </w:pPr>
          </w:p>
        </w:tc>
        <w:tc>
          <w:tcPr>
            <w:tcW w:w="1090" w:type="dxa"/>
            <w:tcMar>
              <w:left w:w="108" w:type="dxa"/>
              <w:right w:w="108" w:type="dxa"/>
            </w:tcMar>
            <w:vAlign w:val="center"/>
          </w:tcPr>
          <w:p w14:paraId="2A4E4A46">
            <w:pPr>
              <w:jc w:val="left"/>
              <w:rPr>
                <w:rFonts w:hint="eastAsia" w:ascii="宋体" w:hAnsi="宋体" w:cs="宋体"/>
                <w:szCs w:val="21"/>
                <w:highlight w:val="none"/>
              </w:rPr>
            </w:pPr>
          </w:p>
        </w:tc>
        <w:tc>
          <w:tcPr>
            <w:tcW w:w="1197" w:type="dxa"/>
            <w:tcMar>
              <w:left w:w="108" w:type="dxa"/>
              <w:right w:w="108" w:type="dxa"/>
            </w:tcMar>
            <w:vAlign w:val="center"/>
          </w:tcPr>
          <w:p w14:paraId="18841980">
            <w:pPr>
              <w:jc w:val="left"/>
              <w:rPr>
                <w:rFonts w:hint="eastAsia" w:ascii="宋体" w:hAnsi="宋体" w:cs="宋体"/>
                <w:szCs w:val="21"/>
                <w:highlight w:val="none"/>
              </w:rPr>
            </w:pPr>
          </w:p>
        </w:tc>
        <w:tc>
          <w:tcPr>
            <w:tcW w:w="983" w:type="dxa"/>
            <w:tcMar>
              <w:left w:w="108" w:type="dxa"/>
              <w:right w:w="108" w:type="dxa"/>
            </w:tcMar>
            <w:vAlign w:val="center"/>
          </w:tcPr>
          <w:p w14:paraId="1ED31493">
            <w:pPr>
              <w:jc w:val="left"/>
              <w:rPr>
                <w:rFonts w:hint="eastAsia" w:ascii="宋体" w:hAnsi="宋体" w:cs="宋体"/>
                <w:szCs w:val="21"/>
                <w:highlight w:val="none"/>
              </w:rPr>
            </w:pPr>
          </w:p>
        </w:tc>
      </w:tr>
      <w:tr w14:paraId="18443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16FA6BFA">
            <w:pPr>
              <w:jc w:val="left"/>
              <w:rPr>
                <w:rFonts w:hint="eastAsia" w:ascii="宋体" w:hAnsi="宋体" w:cs="宋体"/>
                <w:szCs w:val="21"/>
                <w:highlight w:val="none"/>
              </w:rPr>
            </w:pPr>
          </w:p>
        </w:tc>
        <w:tc>
          <w:tcPr>
            <w:tcW w:w="1843" w:type="dxa"/>
            <w:vMerge w:val="continue"/>
            <w:tcMar>
              <w:left w:w="108" w:type="dxa"/>
              <w:right w:w="108" w:type="dxa"/>
            </w:tcMar>
            <w:vAlign w:val="center"/>
          </w:tcPr>
          <w:p w14:paraId="200D1E94">
            <w:pPr>
              <w:jc w:val="left"/>
              <w:rPr>
                <w:rFonts w:hint="eastAsia" w:ascii="宋体" w:hAnsi="宋体" w:cs="宋体"/>
                <w:szCs w:val="21"/>
                <w:highlight w:val="none"/>
              </w:rPr>
            </w:pPr>
          </w:p>
        </w:tc>
        <w:tc>
          <w:tcPr>
            <w:tcW w:w="751" w:type="dxa"/>
            <w:tcMar>
              <w:left w:w="108" w:type="dxa"/>
              <w:right w:w="108" w:type="dxa"/>
            </w:tcMar>
            <w:vAlign w:val="center"/>
          </w:tcPr>
          <w:p w14:paraId="325AD58E">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61BF6E7E">
            <w:pPr>
              <w:jc w:val="left"/>
              <w:rPr>
                <w:rFonts w:hint="eastAsia" w:ascii="宋体" w:hAnsi="宋体" w:cs="宋体"/>
                <w:szCs w:val="21"/>
                <w:highlight w:val="none"/>
              </w:rPr>
            </w:pPr>
          </w:p>
        </w:tc>
        <w:tc>
          <w:tcPr>
            <w:tcW w:w="1123" w:type="dxa"/>
            <w:tcMar>
              <w:left w:w="108" w:type="dxa"/>
              <w:right w:w="108" w:type="dxa"/>
            </w:tcMar>
            <w:vAlign w:val="center"/>
          </w:tcPr>
          <w:p w14:paraId="07FEC3AD">
            <w:pPr>
              <w:jc w:val="left"/>
              <w:rPr>
                <w:rFonts w:hint="eastAsia" w:ascii="宋体" w:hAnsi="宋体" w:cs="宋体"/>
                <w:szCs w:val="21"/>
                <w:highlight w:val="none"/>
              </w:rPr>
            </w:pPr>
          </w:p>
        </w:tc>
        <w:tc>
          <w:tcPr>
            <w:tcW w:w="1090" w:type="dxa"/>
            <w:tcMar>
              <w:left w:w="108" w:type="dxa"/>
              <w:right w:w="108" w:type="dxa"/>
            </w:tcMar>
            <w:vAlign w:val="center"/>
          </w:tcPr>
          <w:p w14:paraId="53A5668A">
            <w:pPr>
              <w:jc w:val="left"/>
              <w:rPr>
                <w:rFonts w:hint="eastAsia" w:ascii="宋体" w:hAnsi="宋体" w:cs="宋体"/>
                <w:szCs w:val="21"/>
                <w:highlight w:val="none"/>
              </w:rPr>
            </w:pPr>
          </w:p>
        </w:tc>
        <w:tc>
          <w:tcPr>
            <w:tcW w:w="1197" w:type="dxa"/>
            <w:tcMar>
              <w:left w:w="108" w:type="dxa"/>
              <w:right w:w="108" w:type="dxa"/>
            </w:tcMar>
            <w:vAlign w:val="center"/>
          </w:tcPr>
          <w:p w14:paraId="0B5B99CC">
            <w:pPr>
              <w:jc w:val="left"/>
              <w:rPr>
                <w:rFonts w:hint="eastAsia" w:ascii="宋体" w:hAnsi="宋体" w:cs="宋体"/>
                <w:szCs w:val="21"/>
                <w:highlight w:val="none"/>
              </w:rPr>
            </w:pPr>
          </w:p>
        </w:tc>
        <w:tc>
          <w:tcPr>
            <w:tcW w:w="983" w:type="dxa"/>
            <w:tcMar>
              <w:left w:w="108" w:type="dxa"/>
              <w:right w:w="108" w:type="dxa"/>
            </w:tcMar>
            <w:vAlign w:val="center"/>
          </w:tcPr>
          <w:p w14:paraId="5427DC88">
            <w:pPr>
              <w:jc w:val="left"/>
              <w:rPr>
                <w:rFonts w:hint="eastAsia" w:ascii="宋体" w:hAnsi="宋体" w:cs="宋体"/>
                <w:szCs w:val="21"/>
                <w:highlight w:val="none"/>
              </w:rPr>
            </w:pPr>
          </w:p>
        </w:tc>
      </w:tr>
      <w:tr w14:paraId="33C23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0C90ABCF">
            <w:pPr>
              <w:jc w:val="left"/>
              <w:rPr>
                <w:rFonts w:hint="eastAsia" w:ascii="宋体" w:hAnsi="宋体" w:cs="宋体"/>
                <w:szCs w:val="21"/>
                <w:highlight w:val="none"/>
              </w:rPr>
            </w:pPr>
          </w:p>
        </w:tc>
        <w:tc>
          <w:tcPr>
            <w:tcW w:w="1843" w:type="dxa"/>
            <w:vMerge w:val="restart"/>
            <w:tcMar>
              <w:left w:w="108" w:type="dxa"/>
              <w:right w:w="108" w:type="dxa"/>
            </w:tcMar>
            <w:vAlign w:val="center"/>
          </w:tcPr>
          <w:p w14:paraId="251BD5CE">
            <w:pPr>
              <w:jc w:val="left"/>
              <w:rPr>
                <w:rFonts w:hint="eastAsia" w:ascii="宋体" w:hAnsi="宋体" w:cs="宋体"/>
                <w:szCs w:val="21"/>
                <w:highlight w:val="none"/>
              </w:rPr>
            </w:pPr>
          </w:p>
        </w:tc>
        <w:tc>
          <w:tcPr>
            <w:tcW w:w="751" w:type="dxa"/>
            <w:tcMar>
              <w:left w:w="108" w:type="dxa"/>
              <w:right w:w="108" w:type="dxa"/>
            </w:tcMar>
            <w:vAlign w:val="center"/>
          </w:tcPr>
          <w:p w14:paraId="37E5FCC1">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0D1E4571">
            <w:pPr>
              <w:jc w:val="left"/>
              <w:rPr>
                <w:rFonts w:hint="eastAsia" w:ascii="宋体" w:hAnsi="宋体" w:cs="宋体"/>
                <w:szCs w:val="21"/>
                <w:highlight w:val="none"/>
              </w:rPr>
            </w:pPr>
          </w:p>
        </w:tc>
        <w:tc>
          <w:tcPr>
            <w:tcW w:w="1123" w:type="dxa"/>
            <w:tcMar>
              <w:left w:w="108" w:type="dxa"/>
              <w:right w:w="108" w:type="dxa"/>
            </w:tcMar>
            <w:vAlign w:val="center"/>
          </w:tcPr>
          <w:p w14:paraId="5D5AC4E9">
            <w:pPr>
              <w:jc w:val="left"/>
              <w:rPr>
                <w:rFonts w:hint="eastAsia" w:ascii="宋体" w:hAnsi="宋体" w:cs="宋体"/>
                <w:szCs w:val="21"/>
                <w:highlight w:val="none"/>
              </w:rPr>
            </w:pPr>
          </w:p>
        </w:tc>
        <w:tc>
          <w:tcPr>
            <w:tcW w:w="1090" w:type="dxa"/>
            <w:tcMar>
              <w:left w:w="108" w:type="dxa"/>
              <w:right w:w="108" w:type="dxa"/>
            </w:tcMar>
            <w:vAlign w:val="center"/>
          </w:tcPr>
          <w:p w14:paraId="7E40F5B5">
            <w:pPr>
              <w:jc w:val="left"/>
              <w:rPr>
                <w:rFonts w:hint="eastAsia" w:ascii="宋体" w:hAnsi="宋体" w:cs="宋体"/>
                <w:szCs w:val="21"/>
                <w:highlight w:val="none"/>
              </w:rPr>
            </w:pPr>
          </w:p>
        </w:tc>
        <w:tc>
          <w:tcPr>
            <w:tcW w:w="1197" w:type="dxa"/>
            <w:tcMar>
              <w:left w:w="108" w:type="dxa"/>
              <w:right w:w="108" w:type="dxa"/>
            </w:tcMar>
            <w:vAlign w:val="center"/>
          </w:tcPr>
          <w:p w14:paraId="1D1F2382">
            <w:pPr>
              <w:jc w:val="left"/>
              <w:rPr>
                <w:rFonts w:hint="eastAsia" w:ascii="宋体" w:hAnsi="宋体" w:cs="宋体"/>
                <w:szCs w:val="21"/>
                <w:highlight w:val="none"/>
              </w:rPr>
            </w:pPr>
          </w:p>
        </w:tc>
        <w:tc>
          <w:tcPr>
            <w:tcW w:w="983" w:type="dxa"/>
            <w:tcMar>
              <w:left w:w="108" w:type="dxa"/>
              <w:right w:w="108" w:type="dxa"/>
            </w:tcMar>
            <w:vAlign w:val="center"/>
          </w:tcPr>
          <w:p w14:paraId="4EA1E45A">
            <w:pPr>
              <w:jc w:val="left"/>
              <w:rPr>
                <w:rFonts w:hint="eastAsia" w:ascii="宋体" w:hAnsi="宋体" w:cs="宋体"/>
                <w:szCs w:val="21"/>
                <w:highlight w:val="none"/>
              </w:rPr>
            </w:pPr>
          </w:p>
        </w:tc>
      </w:tr>
      <w:tr w14:paraId="1ACA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3DE0592C">
            <w:pPr>
              <w:jc w:val="left"/>
              <w:rPr>
                <w:rFonts w:hint="eastAsia" w:ascii="宋体" w:hAnsi="宋体" w:cs="宋体"/>
                <w:szCs w:val="21"/>
                <w:highlight w:val="none"/>
              </w:rPr>
            </w:pPr>
          </w:p>
        </w:tc>
        <w:tc>
          <w:tcPr>
            <w:tcW w:w="1843" w:type="dxa"/>
            <w:vMerge w:val="continue"/>
            <w:tcMar>
              <w:left w:w="108" w:type="dxa"/>
              <w:right w:w="108" w:type="dxa"/>
            </w:tcMar>
            <w:vAlign w:val="center"/>
          </w:tcPr>
          <w:p w14:paraId="62C9B477">
            <w:pPr>
              <w:jc w:val="left"/>
              <w:rPr>
                <w:rFonts w:hint="eastAsia" w:ascii="宋体" w:hAnsi="宋体" w:cs="宋体"/>
                <w:szCs w:val="21"/>
                <w:highlight w:val="none"/>
              </w:rPr>
            </w:pPr>
          </w:p>
        </w:tc>
        <w:tc>
          <w:tcPr>
            <w:tcW w:w="751" w:type="dxa"/>
            <w:tcMar>
              <w:left w:w="108" w:type="dxa"/>
              <w:right w:w="108" w:type="dxa"/>
            </w:tcMar>
            <w:vAlign w:val="center"/>
          </w:tcPr>
          <w:p w14:paraId="6F1D1E02">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4B151854">
            <w:pPr>
              <w:jc w:val="left"/>
              <w:rPr>
                <w:rFonts w:hint="eastAsia" w:ascii="宋体" w:hAnsi="宋体" w:cs="宋体"/>
                <w:szCs w:val="21"/>
                <w:highlight w:val="none"/>
              </w:rPr>
            </w:pPr>
          </w:p>
        </w:tc>
        <w:tc>
          <w:tcPr>
            <w:tcW w:w="1123" w:type="dxa"/>
            <w:tcMar>
              <w:left w:w="108" w:type="dxa"/>
              <w:right w:w="108" w:type="dxa"/>
            </w:tcMar>
            <w:vAlign w:val="center"/>
          </w:tcPr>
          <w:p w14:paraId="0353340C">
            <w:pPr>
              <w:jc w:val="left"/>
              <w:rPr>
                <w:rFonts w:hint="eastAsia" w:ascii="宋体" w:hAnsi="宋体" w:cs="宋体"/>
                <w:szCs w:val="21"/>
                <w:highlight w:val="none"/>
              </w:rPr>
            </w:pPr>
          </w:p>
        </w:tc>
        <w:tc>
          <w:tcPr>
            <w:tcW w:w="1090" w:type="dxa"/>
            <w:tcMar>
              <w:left w:w="108" w:type="dxa"/>
              <w:right w:w="108" w:type="dxa"/>
            </w:tcMar>
            <w:vAlign w:val="center"/>
          </w:tcPr>
          <w:p w14:paraId="2A00688F">
            <w:pPr>
              <w:jc w:val="left"/>
              <w:rPr>
                <w:rFonts w:hint="eastAsia" w:ascii="宋体" w:hAnsi="宋体" w:cs="宋体"/>
                <w:szCs w:val="21"/>
                <w:highlight w:val="none"/>
              </w:rPr>
            </w:pPr>
          </w:p>
        </w:tc>
        <w:tc>
          <w:tcPr>
            <w:tcW w:w="1197" w:type="dxa"/>
            <w:tcMar>
              <w:left w:w="108" w:type="dxa"/>
              <w:right w:w="108" w:type="dxa"/>
            </w:tcMar>
            <w:vAlign w:val="center"/>
          </w:tcPr>
          <w:p w14:paraId="6CB7F244">
            <w:pPr>
              <w:jc w:val="left"/>
              <w:rPr>
                <w:rFonts w:hint="eastAsia" w:ascii="宋体" w:hAnsi="宋体" w:cs="宋体"/>
                <w:szCs w:val="21"/>
                <w:highlight w:val="none"/>
              </w:rPr>
            </w:pPr>
          </w:p>
        </w:tc>
        <w:tc>
          <w:tcPr>
            <w:tcW w:w="983" w:type="dxa"/>
            <w:tcMar>
              <w:left w:w="108" w:type="dxa"/>
              <w:right w:w="108" w:type="dxa"/>
            </w:tcMar>
            <w:vAlign w:val="center"/>
          </w:tcPr>
          <w:p w14:paraId="67D61403">
            <w:pPr>
              <w:jc w:val="left"/>
              <w:rPr>
                <w:rFonts w:hint="eastAsia" w:ascii="宋体" w:hAnsi="宋体" w:cs="宋体"/>
                <w:szCs w:val="21"/>
                <w:highlight w:val="none"/>
              </w:rPr>
            </w:pPr>
          </w:p>
        </w:tc>
      </w:tr>
      <w:tr w14:paraId="14BE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6899C6F5">
            <w:pPr>
              <w:jc w:val="left"/>
              <w:rPr>
                <w:rFonts w:hint="eastAsia" w:ascii="宋体" w:hAnsi="宋体" w:cs="宋体"/>
                <w:szCs w:val="21"/>
                <w:highlight w:val="none"/>
              </w:rPr>
            </w:pPr>
          </w:p>
        </w:tc>
        <w:tc>
          <w:tcPr>
            <w:tcW w:w="1843" w:type="dxa"/>
            <w:vMerge w:val="continue"/>
            <w:tcMar>
              <w:left w:w="108" w:type="dxa"/>
              <w:right w:w="108" w:type="dxa"/>
            </w:tcMar>
            <w:vAlign w:val="center"/>
          </w:tcPr>
          <w:p w14:paraId="6E72995D">
            <w:pPr>
              <w:jc w:val="left"/>
              <w:rPr>
                <w:rFonts w:hint="eastAsia" w:ascii="宋体" w:hAnsi="宋体" w:cs="宋体"/>
                <w:szCs w:val="21"/>
                <w:highlight w:val="none"/>
              </w:rPr>
            </w:pPr>
          </w:p>
        </w:tc>
        <w:tc>
          <w:tcPr>
            <w:tcW w:w="751" w:type="dxa"/>
            <w:tcMar>
              <w:left w:w="108" w:type="dxa"/>
              <w:right w:w="108" w:type="dxa"/>
            </w:tcMar>
            <w:vAlign w:val="center"/>
          </w:tcPr>
          <w:p w14:paraId="3D72885C">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6DE609C3">
            <w:pPr>
              <w:jc w:val="left"/>
              <w:rPr>
                <w:rFonts w:hint="eastAsia" w:ascii="宋体" w:hAnsi="宋体" w:cs="宋体"/>
                <w:szCs w:val="21"/>
                <w:highlight w:val="none"/>
              </w:rPr>
            </w:pPr>
          </w:p>
        </w:tc>
        <w:tc>
          <w:tcPr>
            <w:tcW w:w="1123" w:type="dxa"/>
            <w:tcMar>
              <w:left w:w="108" w:type="dxa"/>
              <w:right w:w="108" w:type="dxa"/>
            </w:tcMar>
            <w:vAlign w:val="center"/>
          </w:tcPr>
          <w:p w14:paraId="2D115D9A">
            <w:pPr>
              <w:jc w:val="left"/>
              <w:rPr>
                <w:rFonts w:hint="eastAsia" w:ascii="宋体" w:hAnsi="宋体" w:cs="宋体"/>
                <w:szCs w:val="21"/>
                <w:highlight w:val="none"/>
              </w:rPr>
            </w:pPr>
          </w:p>
        </w:tc>
        <w:tc>
          <w:tcPr>
            <w:tcW w:w="1090" w:type="dxa"/>
            <w:tcMar>
              <w:left w:w="108" w:type="dxa"/>
              <w:right w:w="108" w:type="dxa"/>
            </w:tcMar>
            <w:vAlign w:val="center"/>
          </w:tcPr>
          <w:p w14:paraId="0E4095D2">
            <w:pPr>
              <w:jc w:val="left"/>
              <w:rPr>
                <w:rFonts w:hint="eastAsia" w:ascii="宋体" w:hAnsi="宋体" w:cs="宋体"/>
                <w:szCs w:val="21"/>
                <w:highlight w:val="none"/>
              </w:rPr>
            </w:pPr>
          </w:p>
        </w:tc>
        <w:tc>
          <w:tcPr>
            <w:tcW w:w="1197" w:type="dxa"/>
            <w:tcMar>
              <w:left w:w="108" w:type="dxa"/>
              <w:right w:w="108" w:type="dxa"/>
            </w:tcMar>
            <w:vAlign w:val="center"/>
          </w:tcPr>
          <w:p w14:paraId="5EC04798">
            <w:pPr>
              <w:jc w:val="left"/>
              <w:rPr>
                <w:rFonts w:hint="eastAsia" w:ascii="宋体" w:hAnsi="宋体" w:cs="宋体"/>
                <w:szCs w:val="21"/>
                <w:highlight w:val="none"/>
              </w:rPr>
            </w:pPr>
          </w:p>
        </w:tc>
        <w:tc>
          <w:tcPr>
            <w:tcW w:w="983" w:type="dxa"/>
            <w:tcMar>
              <w:left w:w="108" w:type="dxa"/>
              <w:right w:w="108" w:type="dxa"/>
            </w:tcMar>
            <w:vAlign w:val="center"/>
          </w:tcPr>
          <w:p w14:paraId="118775CD">
            <w:pPr>
              <w:jc w:val="left"/>
              <w:rPr>
                <w:rFonts w:hint="eastAsia" w:ascii="宋体" w:hAnsi="宋体" w:cs="宋体"/>
                <w:szCs w:val="21"/>
                <w:highlight w:val="none"/>
              </w:rPr>
            </w:pPr>
          </w:p>
        </w:tc>
      </w:tr>
      <w:tr w14:paraId="214BD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7DE23D6F">
            <w:pPr>
              <w:jc w:val="left"/>
              <w:rPr>
                <w:rFonts w:hint="eastAsia" w:ascii="宋体" w:hAnsi="宋体" w:cs="宋体"/>
                <w:szCs w:val="21"/>
                <w:highlight w:val="none"/>
              </w:rPr>
            </w:pPr>
          </w:p>
        </w:tc>
        <w:tc>
          <w:tcPr>
            <w:tcW w:w="1843" w:type="dxa"/>
            <w:vMerge w:val="restart"/>
            <w:tcMar>
              <w:left w:w="108" w:type="dxa"/>
              <w:right w:w="108" w:type="dxa"/>
            </w:tcMar>
            <w:vAlign w:val="center"/>
          </w:tcPr>
          <w:p w14:paraId="6B5BCA40">
            <w:pPr>
              <w:jc w:val="left"/>
              <w:rPr>
                <w:rFonts w:hint="eastAsia" w:ascii="宋体" w:hAnsi="宋体" w:cs="宋体"/>
                <w:szCs w:val="21"/>
                <w:highlight w:val="none"/>
              </w:rPr>
            </w:pPr>
          </w:p>
        </w:tc>
        <w:tc>
          <w:tcPr>
            <w:tcW w:w="751" w:type="dxa"/>
            <w:tcMar>
              <w:left w:w="108" w:type="dxa"/>
              <w:right w:w="108" w:type="dxa"/>
            </w:tcMar>
            <w:vAlign w:val="center"/>
          </w:tcPr>
          <w:p w14:paraId="3B6AEE10">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03BBC8C">
            <w:pPr>
              <w:jc w:val="left"/>
              <w:rPr>
                <w:rFonts w:hint="eastAsia" w:ascii="宋体" w:hAnsi="宋体" w:cs="宋体"/>
                <w:szCs w:val="21"/>
                <w:highlight w:val="none"/>
              </w:rPr>
            </w:pPr>
          </w:p>
        </w:tc>
        <w:tc>
          <w:tcPr>
            <w:tcW w:w="1123" w:type="dxa"/>
            <w:tcMar>
              <w:left w:w="108" w:type="dxa"/>
              <w:right w:w="108" w:type="dxa"/>
            </w:tcMar>
            <w:vAlign w:val="center"/>
          </w:tcPr>
          <w:p w14:paraId="5EBD0D71">
            <w:pPr>
              <w:jc w:val="left"/>
              <w:rPr>
                <w:rFonts w:hint="eastAsia" w:ascii="宋体" w:hAnsi="宋体" w:cs="宋体"/>
                <w:szCs w:val="21"/>
                <w:highlight w:val="none"/>
              </w:rPr>
            </w:pPr>
          </w:p>
        </w:tc>
        <w:tc>
          <w:tcPr>
            <w:tcW w:w="1090" w:type="dxa"/>
            <w:tcMar>
              <w:left w:w="108" w:type="dxa"/>
              <w:right w:w="108" w:type="dxa"/>
            </w:tcMar>
            <w:vAlign w:val="center"/>
          </w:tcPr>
          <w:p w14:paraId="15B985F0">
            <w:pPr>
              <w:jc w:val="left"/>
              <w:rPr>
                <w:rFonts w:hint="eastAsia" w:ascii="宋体" w:hAnsi="宋体" w:cs="宋体"/>
                <w:szCs w:val="21"/>
                <w:highlight w:val="none"/>
              </w:rPr>
            </w:pPr>
          </w:p>
        </w:tc>
        <w:tc>
          <w:tcPr>
            <w:tcW w:w="1197" w:type="dxa"/>
            <w:tcMar>
              <w:left w:w="108" w:type="dxa"/>
              <w:right w:w="108" w:type="dxa"/>
            </w:tcMar>
            <w:vAlign w:val="center"/>
          </w:tcPr>
          <w:p w14:paraId="09541285">
            <w:pPr>
              <w:jc w:val="left"/>
              <w:rPr>
                <w:rFonts w:hint="eastAsia" w:ascii="宋体" w:hAnsi="宋体" w:cs="宋体"/>
                <w:szCs w:val="21"/>
                <w:highlight w:val="none"/>
              </w:rPr>
            </w:pPr>
          </w:p>
        </w:tc>
        <w:tc>
          <w:tcPr>
            <w:tcW w:w="983" w:type="dxa"/>
            <w:tcMar>
              <w:left w:w="108" w:type="dxa"/>
              <w:right w:w="108" w:type="dxa"/>
            </w:tcMar>
            <w:vAlign w:val="center"/>
          </w:tcPr>
          <w:p w14:paraId="795732FB">
            <w:pPr>
              <w:jc w:val="left"/>
              <w:rPr>
                <w:rFonts w:hint="eastAsia" w:ascii="宋体" w:hAnsi="宋体" w:cs="宋体"/>
                <w:szCs w:val="21"/>
                <w:highlight w:val="none"/>
              </w:rPr>
            </w:pPr>
          </w:p>
        </w:tc>
      </w:tr>
      <w:tr w14:paraId="3A6D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747783E9">
            <w:pPr>
              <w:jc w:val="left"/>
              <w:rPr>
                <w:rFonts w:hint="eastAsia" w:ascii="宋体" w:hAnsi="宋体" w:cs="宋体"/>
                <w:szCs w:val="21"/>
                <w:highlight w:val="none"/>
              </w:rPr>
            </w:pPr>
          </w:p>
        </w:tc>
        <w:tc>
          <w:tcPr>
            <w:tcW w:w="1843" w:type="dxa"/>
            <w:vMerge w:val="continue"/>
            <w:tcMar>
              <w:left w:w="108" w:type="dxa"/>
              <w:right w:w="108" w:type="dxa"/>
            </w:tcMar>
            <w:vAlign w:val="center"/>
          </w:tcPr>
          <w:p w14:paraId="280C81C6">
            <w:pPr>
              <w:jc w:val="left"/>
              <w:rPr>
                <w:rFonts w:hint="eastAsia" w:ascii="宋体" w:hAnsi="宋体" w:cs="宋体"/>
                <w:szCs w:val="21"/>
                <w:highlight w:val="none"/>
              </w:rPr>
            </w:pPr>
          </w:p>
        </w:tc>
        <w:tc>
          <w:tcPr>
            <w:tcW w:w="751" w:type="dxa"/>
            <w:tcMar>
              <w:left w:w="108" w:type="dxa"/>
              <w:right w:w="108" w:type="dxa"/>
            </w:tcMar>
            <w:vAlign w:val="center"/>
          </w:tcPr>
          <w:p w14:paraId="02DB53CA">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332A0B1B">
            <w:pPr>
              <w:jc w:val="left"/>
              <w:rPr>
                <w:rFonts w:hint="eastAsia" w:ascii="宋体" w:hAnsi="宋体" w:cs="宋体"/>
                <w:szCs w:val="21"/>
                <w:highlight w:val="none"/>
              </w:rPr>
            </w:pPr>
          </w:p>
        </w:tc>
        <w:tc>
          <w:tcPr>
            <w:tcW w:w="1123" w:type="dxa"/>
            <w:tcMar>
              <w:left w:w="108" w:type="dxa"/>
              <w:right w:w="108" w:type="dxa"/>
            </w:tcMar>
            <w:vAlign w:val="center"/>
          </w:tcPr>
          <w:p w14:paraId="6EF8D06B">
            <w:pPr>
              <w:jc w:val="left"/>
              <w:rPr>
                <w:rFonts w:hint="eastAsia" w:ascii="宋体" w:hAnsi="宋体" w:cs="宋体"/>
                <w:szCs w:val="21"/>
                <w:highlight w:val="none"/>
              </w:rPr>
            </w:pPr>
          </w:p>
        </w:tc>
        <w:tc>
          <w:tcPr>
            <w:tcW w:w="1090" w:type="dxa"/>
            <w:tcMar>
              <w:left w:w="108" w:type="dxa"/>
              <w:right w:w="108" w:type="dxa"/>
            </w:tcMar>
            <w:vAlign w:val="center"/>
          </w:tcPr>
          <w:p w14:paraId="5A607FE5">
            <w:pPr>
              <w:jc w:val="left"/>
              <w:rPr>
                <w:rFonts w:hint="eastAsia" w:ascii="宋体" w:hAnsi="宋体" w:cs="宋体"/>
                <w:szCs w:val="21"/>
                <w:highlight w:val="none"/>
              </w:rPr>
            </w:pPr>
          </w:p>
        </w:tc>
        <w:tc>
          <w:tcPr>
            <w:tcW w:w="1197" w:type="dxa"/>
            <w:tcMar>
              <w:left w:w="108" w:type="dxa"/>
              <w:right w:w="108" w:type="dxa"/>
            </w:tcMar>
            <w:vAlign w:val="center"/>
          </w:tcPr>
          <w:p w14:paraId="43176B1A">
            <w:pPr>
              <w:jc w:val="left"/>
              <w:rPr>
                <w:rFonts w:hint="eastAsia" w:ascii="宋体" w:hAnsi="宋体" w:cs="宋体"/>
                <w:szCs w:val="21"/>
                <w:highlight w:val="none"/>
              </w:rPr>
            </w:pPr>
          </w:p>
        </w:tc>
        <w:tc>
          <w:tcPr>
            <w:tcW w:w="983" w:type="dxa"/>
            <w:tcMar>
              <w:left w:w="108" w:type="dxa"/>
              <w:right w:w="108" w:type="dxa"/>
            </w:tcMar>
            <w:vAlign w:val="center"/>
          </w:tcPr>
          <w:p w14:paraId="7474A866">
            <w:pPr>
              <w:jc w:val="left"/>
              <w:rPr>
                <w:rFonts w:hint="eastAsia" w:ascii="宋体" w:hAnsi="宋体" w:cs="宋体"/>
                <w:szCs w:val="21"/>
                <w:highlight w:val="none"/>
              </w:rPr>
            </w:pPr>
          </w:p>
        </w:tc>
      </w:tr>
      <w:tr w14:paraId="41805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0AD99082">
            <w:pPr>
              <w:jc w:val="left"/>
              <w:rPr>
                <w:rFonts w:hint="eastAsia" w:ascii="宋体" w:hAnsi="宋体" w:cs="宋体"/>
                <w:szCs w:val="21"/>
                <w:highlight w:val="none"/>
              </w:rPr>
            </w:pPr>
          </w:p>
        </w:tc>
        <w:tc>
          <w:tcPr>
            <w:tcW w:w="1843" w:type="dxa"/>
            <w:vMerge w:val="continue"/>
            <w:tcMar>
              <w:left w:w="108" w:type="dxa"/>
              <w:right w:w="108" w:type="dxa"/>
            </w:tcMar>
            <w:vAlign w:val="center"/>
          </w:tcPr>
          <w:p w14:paraId="57898645">
            <w:pPr>
              <w:jc w:val="left"/>
              <w:rPr>
                <w:rFonts w:hint="eastAsia" w:ascii="宋体" w:hAnsi="宋体" w:cs="宋体"/>
                <w:szCs w:val="21"/>
                <w:highlight w:val="none"/>
              </w:rPr>
            </w:pPr>
          </w:p>
        </w:tc>
        <w:tc>
          <w:tcPr>
            <w:tcW w:w="751" w:type="dxa"/>
            <w:tcMar>
              <w:left w:w="108" w:type="dxa"/>
              <w:right w:w="108" w:type="dxa"/>
            </w:tcMar>
            <w:vAlign w:val="center"/>
          </w:tcPr>
          <w:p w14:paraId="51F0E400">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2167B329">
            <w:pPr>
              <w:jc w:val="left"/>
              <w:rPr>
                <w:rFonts w:hint="eastAsia" w:ascii="宋体" w:hAnsi="宋体" w:cs="宋体"/>
                <w:szCs w:val="21"/>
                <w:highlight w:val="none"/>
              </w:rPr>
            </w:pPr>
          </w:p>
        </w:tc>
        <w:tc>
          <w:tcPr>
            <w:tcW w:w="1123" w:type="dxa"/>
            <w:tcMar>
              <w:left w:w="108" w:type="dxa"/>
              <w:right w:w="108" w:type="dxa"/>
            </w:tcMar>
            <w:vAlign w:val="center"/>
          </w:tcPr>
          <w:p w14:paraId="2250F999">
            <w:pPr>
              <w:jc w:val="left"/>
              <w:rPr>
                <w:rFonts w:hint="eastAsia" w:ascii="宋体" w:hAnsi="宋体" w:cs="宋体"/>
                <w:szCs w:val="21"/>
                <w:highlight w:val="none"/>
              </w:rPr>
            </w:pPr>
          </w:p>
        </w:tc>
        <w:tc>
          <w:tcPr>
            <w:tcW w:w="1090" w:type="dxa"/>
            <w:tcMar>
              <w:left w:w="108" w:type="dxa"/>
              <w:right w:w="108" w:type="dxa"/>
            </w:tcMar>
            <w:vAlign w:val="center"/>
          </w:tcPr>
          <w:p w14:paraId="178423EC">
            <w:pPr>
              <w:jc w:val="left"/>
              <w:rPr>
                <w:rFonts w:hint="eastAsia" w:ascii="宋体" w:hAnsi="宋体" w:cs="宋体"/>
                <w:szCs w:val="21"/>
                <w:highlight w:val="none"/>
              </w:rPr>
            </w:pPr>
          </w:p>
        </w:tc>
        <w:tc>
          <w:tcPr>
            <w:tcW w:w="1197" w:type="dxa"/>
            <w:tcMar>
              <w:left w:w="108" w:type="dxa"/>
              <w:right w:w="108" w:type="dxa"/>
            </w:tcMar>
            <w:vAlign w:val="center"/>
          </w:tcPr>
          <w:p w14:paraId="4362D732">
            <w:pPr>
              <w:jc w:val="left"/>
              <w:rPr>
                <w:rFonts w:hint="eastAsia" w:ascii="宋体" w:hAnsi="宋体" w:cs="宋体"/>
                <w:szCs w:val="21"/>
                <w:highlight w:val="none"/>
              </w:rPr>
            </w:pPr>
          </w:p>
        </w:tc>
        <w:tc>
          <w:tcPr>
            <w:tcW w:w="983" w:type="dxa"/>
            <w:tcMar>
              <w:left w:w="108" w:type="dxa"/>
              <w:right w:w="108" w:type="dxa"/>
            </w:tcMar>
            <w:vAlign w:val="center"/>
          </w:tcPr>
          <w:p w14:paraId="41E6776D">
            <w:pPr>
              <w:jc w:val="left"/>
              <w:rPr>
                <w:rFonts w:hint="eastAsia" w:ascii="宋体" w:hAnsi="宋体" w:cs="宋体"/>
                <w:szCs w:val="21"/>
                <w:highlight w:val="none"/>
              </w:rPr>
            </w:pPr>
          </w:p>
        </w:tc>
      </w:tr>
      <w:bookmarkEnd w:id="403"/>
    </w:tbl>
    <w:p w14:paraId="73A5FD35">
      <w:pPr>
        <w:widowControl/>
        <w:jc w:val="left"/>
        <w:rPr>
          <w:rFonts w:hint="eastAsia" w:ascii="宋体" w:hAnsi="宋体" w:cs="宋体"/>
          <w:b/>
          <w:bCs/>
          <w:sz w:val="32"/>
          <w:highlight w:val="none"/>
        </w:rPr>
      </w:pPr>
    </w:p>
    <w:p w14:paraId="41EFBE95">
      <w:pPr>
        <w:widowControl/>
        <w:jc w:val="center"/>
        <w:rPr>
          <w:rFonts w:hint="eastAsia" w:ascii="宋体" w:hAnsi="宋体" w:cs="宋体"/>
          <w:b/>
          <w:bCs/>
          <w:sz w:val="32"/>
          <w:highlight w:val="none"/>
        </w:rPr>
      </w:pPr>
      <w:r>
        <w:rPr>
          <w:rFonts w:hint="eastAsia" w:ascii="宋体" w:hAnsi="宋体" w:cs="宋体"/>
          <w:b/>
          <w:bCs/>
          <w:sz w:val="32"/>
          <w:highlight w:val="none"/>
        </w:rPr>
        <w:br w:type="page"/>
      </w:r>
      <w:r>
        <w:rPr>
          <w:rFonts w:hint="eastAsia" w:ascii="宋体" w:hAnsi="宋体" w:cs="宋体"/>
          <w:b/>
          <w:bCs/>
          <w:sz w:val="32"/>
          <w:highlight w:val="none"/>
        </w:rPr>
        <w:t>十、自评分表</w:t>
      </w:r>
    </w:p>
    <w:p w14:paraId="256F3C5D">
      <w:pPr>
        <w:jc w:val="left"/>
        <w:rPr>
          <w:rFonts w:hint="eastAsia" w:ascii="宋体" w:hAnsi="宋体" w:cs="宋体"/>
          <w:highlight w:val="none"/>
        </w:rPr>
      </w:pPr>
    </w:p>
    <w:tbl>
      <w:tblPr>
        <w:tblStyle w:val="3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401"/>
        <w:gridCol w:w="5074"/>
        <w:gridCol w:w="920"/>
        <w:gridCol w:w="1080"/>
      </w:tblGrid>
      <w:tr w14:paraId="7B7A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723" w:type="dxa"/>
            <w:vAlign w:val="center"/>
          </w:tcPr>
          <w:p w14:paraId="03C7CB9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序号</w:t>
            </w:r>
          </w:p>
        </w:tc>
        <w:tc>
          <w:tcPr>
            <w:tcW w:w="1401" w:type="dxa"/>
            <w:vAlign w:val="center"/>
          </w:tcPr>
          <w:p w14:paraId="30E72E0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分类</w:t>
            </w:r>
          </w:p>
        </w:tc>
        <w:tc>
          <w:tcPr>
            <w:tcW w:w="5074" w:type="dxa"/>
            <w:vAlign w:val="center"/>
          </w:tcPr>
          <w:p w14:paraId="25AF113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评审内容</w:t>
            </w:r>
          </w:p>
        </w:tc>
        <w:tc>
          <w:tcPr>
            <w:tcW w:w="920" w:type="dxa"/>
            <w:vAlign w:val="center"/>
          </w:tcPr>
          <w:p w14:paraId="1EE9FF0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材料名称</w:t>
            </w:r>
          </w:p>
        </w:tc>
        <w:tc>
          <w:tcPr>
            <w:tcW w:w="1080" w:type="dxa"/>
            <w:vAlign w:val="center"/>
          </w:tcPr>
          <w:p w14:paraId="0C10593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企业自评分</w:t>
            </w:r>
          </w:p>
        </w:tc>
      </w:tr>
      <w:tr w14:paraId="73B8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723" w:type="dxa"/>
            <w:vAlign w:val="center"/>
          </w:tcPr>
          <w:p w14:paraId="6555B9B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1</w:t>
            </w:r>
          </w:p>
        </w:tc>
        <w:tc>
          <w:tcPr>
            <w:tcW w:w="1401" w:type="dxa"/>
            <w:vAlign w:val="center"/>
          </w:tcPr>
          <w:p w14:paraId="6E3FA3BB">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jc w:val="center"/>
              <w:textAlignment w:val="auto"/>
              <w:rPr>
                <w:rFonts w:hint="eastAsia" w:ascii="宋体" w:hAnsi="宋体" w:eastAsia="宋体" w:cs="宋体"/>
                <w:b w:val="0"/>
                <w:bCs/>
                <w:kern w:val="0"/>
                <w:sz w:val="21"/>
                <w:szCs w:val="21"/>
                <w:highlight w:val="none"/>
                <w:lang w:val="en-US" w:eastAsia="zh-CN" w:bidi="ar-SA"/>
              </w:rPr>
            </w:pPr>
            <w:r>
              <w:rPr>
                <w:rFonts w:hint="eastAsia" w:ascii="宋体" w:hAnsi="宋体" w:eastAsia="宋体" w:cs="宋体"/>
                <w:b w:val="0"/>
                <w:bCs/>
                <w:kern w:val="0"/>
                <w:sz w:val="21"/>
                <w:szCs w:val="21"/>
                <w:highlight w:val="none"/>
                <w:lang w:val="en-US" w:eastAsia="zh-CN" w:bidi="ar-SA"/>
              </w:rPr>
              <w:t>全过程工程咨询服务项目总负责人</w:t>
            </w:r>
          </w:p>
        </w:tc>
        <w:tc>
          <w:tcPr>
            <w:tcW w:w="5074" w:type="dxa"/>
            <w:vAlign w:val="center"/>
          </w:tcPr>
          <w:p w14:paraId="2AE550B1">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lang w:val="en-US" w:eastAsia="zh-CN"/>
              </w:rPr>
              <w:t>具有注册安全工程师证的得1分，</w:t>
            </w:r>
            <w:r>
              <w:rPr>
                <w:rFonts w:hint="eastAsia" w:ascii="宋体" w:hAnsi="宋体" w:eastAsia="宋体" w:cs="宋体"/>
                <w:b w:val="0"/>
                <w:bCs/>
                <w:kern w:val="0"/>
                <w:sz w:val="21"/>
                <w:szCs w:val="21"/>
                <w:highlight w:val="none"/>
              </w:rPr>
              <w:t>具有国家咨询工程师（投资）登记证书的得</w:t>
            </w:r>
            <w:r>
              <w:rPr>
                <w:rFonts w:hint="eastAsia" w:ascii="宋体" w:hAnsi="宋体" w:eastAsia="宋体" w:cs="宋体"/>
                <w:b w:val="0"/>
                <w:bCs/>
                <w:kern w:val="0"/>
                <w:sz w:val="21"/>
                <w:szCs w:val="21"/>
                <w:highlight w:val="none"/>
                <w:lang w:val="en-US" w:eastAsia="zh-CN"/>
              </w:rPr>
              <w:t>1</w:t>
            </w:r>
            <w:r>
              <w:rPr>
                <w:rFonts w:hint="eastAsia" w:ascii="宋体" w:hAnsi="宋体" w:eastAsia="宋体" w:cs="宋体"/>
                <w:b w:val="0"/>
                <w:bCs/>
                <w:kern w:val="0"/>
                <w:sz w:val="21"/>
                <w:szCs w:val="21"/>
                <w:highlight w:val="none"/>
              </w:rPr>
              <w:t>分（注：需提供相应有效期内注册证书或登记证书）</w:t>
            </w:r>
          </w:p>
        </w:tc>
        <w:tc>
          <w:tcPr>
            <w:tcW w:w="920" w:type="dxa"/>
            <w:vAlign w:val="center"/>
          </w:tcPr>
          <w:p w14:paraId="0B330443">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02EE103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2EB79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3" w:type="dxa"/>
            <w:vAlign w:val="center"/>
          </w:tcPr>
          <w:p w14:paraId="33683DA4">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en-US" w:eastAsia="zh-CN"/>
              </w:rPr>
            </w:pPr>
            <w:r>
              <w:rPr>
                <w:rFonts w:hint="eastAsia" w:ascii="宋体" w:hAnsi="宋体" w:eastAsia="宋体" w:cs="宋体"/>
                <w:b w:val="0"/>
                <w:bCs/>
                <w:kern w:val="0"/>
                <w:sz w:val="21"/>
                <w:szCs w:val="21"/>
                <w:highlight w:val="none"/>
                <w:lang w:val="en-US" w:eastAsia="zh-CN"/>
              </w:rPr>
              <w:t>2</w:t>
            </w:r>
          </w:p>
        </w:tc>
        <w:tc>
          <w:tcPr>
            <w:tcW w:w="1401" w:type="dxa"/>
            <w:vAlign w:val="center"/>
          </w:tcPr>
          <w:p w14:paraId="46697627">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监理负责人</w:t>
            </w:r>
          </w:p>
        </w:tc>
        <w:tc>
          <w:tcPr>
            <w:tcW w:w="5074" w:type="dxa"/>
            <w:vAlign w:val="center"/>
          </w:tcPr>
          <w:p w14:paraId="67D5DF6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总监具有工程类高级及以上职称得1分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分。（注</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需提供职称证书）</w:t>
            </w:r>
          </w:p>
        </w:tc>
        <w:tc>
          <w:tcPr>
            <w:tcW w:w="920" w:type="dxa"/>
            <w:vAlign w:val="center"/>
          </w:tcPr>
          <w:p w14:paraId="3C81DF9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65046B51">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4127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723" w:type="dxa"/>
            <w:vAlign w:val="center"/>
          </w:tcPr>
          <w:p w14:paraId="5196751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eastAsia="zh-CN"/>
              </w:rPr>
            </w:pPr>
            <w:r>
              <w:rPr>
                <w:rFonts w:hint="eastAsia" w:ascii="宋体" w:hAnsi="宋体" w:eastAsia="宋体" w:cs="宋体"/>
                <w:b w:val="0"/>
                <w:bCs/>
                <w:kern w:val="0"/>
                <w:sz w:val="21"/>
                <w:szCs w:val="21"/>
                <w:highlight w:val="none"/>
                <w:lang w:val="en-US" w:eastAsia="zh-CN"/>
              </w:rPr>
              <w:t>3</w:t>
            </w:r>
          </w:p>
        </w:tc>
        <w:tc>
          <w:tcPr>
            <w:tcW w:w="1401" w:type="dxa"/>
            <w:vAlign w:val="center"/>
          </w:tcPr>
          <w:p w14:paraId="12D72C3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造价咨询负责人</w:t>
            </w:r>
          </w:p>
        </w:tc>
        <w:tc>
          <w:tcPr>
            <w:tcW w:w="5074" w:type="dxa"/>
            <w:vAlign w:val="center"/>
          </w:tcPr>
          <w:p w14:paraId="2B6D69A5">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具有一级注册造价工程师证（水利工程）得1分；具有国家咨询工程师（投资）登记证书的得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分；具有</w:t>
            </w:r>
            <w:r>
              <w:rPr>
                <w:rFonts w:hint="eastAsia" w:ascii="宋体" w:hAnsi="宋体" w:eastAsia="宋体" w:cs="宋体"/>
                <w:b w:val="0"/>
                <w:bCs/>
                <w:kern w:val="0"/>
                <w:sz w:val="21"/>
                <w:szCs w:val="21"/>
                <w:highlight w:val="none"/>
                <w:lang w:val="zh-CN" w:eastAsia="zh-CN"/>
              </w:rPr>
              <w:t>工程类</w:t>
            </w:r>
            <w:r>
              <w:rPr>
                <w:rFonts w:hint="eastAsia" w:ascii="宋体" w:hAnsi="宋体" w:eastAsia="宋体" w:cs="宋体"/>
                <w:b w:val="0"/>
                <w:bCs/>
                <w:kern w:val="0"/>
                <w:sz w:val="21"/>
                <w:szCs w:val="21"/>
                <w:highlight w:val="none"/>
                <w:lang w:val="zh-CN"/>
              </w:rPr>
              <w:t>高级及以上职称得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分；本项最多得</w:t>
            </w:r>
            <w:r>
              <w:rPr>
                <w:rFonts w:hint="eastAsia" w:ascii="宋体" w:hAnsi="宋体" w:eastAsia="宋体" w:cs="宋体"/>
                <w:b w:val="0"/>
                <w:bCs/>
                <w:kern w:val="0"/>
                <w:sz w:val="21"/>
                <w:szCs w:val="21"/>
                <w:highlight w:val="none"/>
                <w:lang w:val="zh-CN" w:eastAsia="zh-CN"/>
              </w:rPr>
              <w:t>3</w:t>
            </w:r>
            <w:r>
              <w:rPr>
                <w:rFonts w:hint="eastAsia" w:ascii="宋体" w:hAnsi="宋体" w:eastAsia="宋体" w:cs="宋体"/>
                <w:b w:val="0"/>
                <w:bCs/>
                <w:kern w:val="0"/>
                <w:sz w:val="21"/>
                <w:szCs w:val="21"/>
                <w:highlight w:val="none"/>
                <w:lang w:val="zh-CN"/>
              </w:rPr>
              <w:t>分。 （注：需提供相应有效期内注册证书或职称证书或登记证书）</w:t>
            </w:r>
          </w:p>
        </w:tc>
        <w:tc>
          <w:tcPr>
            <w:tcW w:w="920" w:type="dxa"/>
            <w:vAlign w:val="center"/>
          </w:tcPr>
          <w:p w14:paraId="799AB296">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3700EE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1734B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723" w:type="dxa"/>
            <w:vAlign w:val="center"/>
          </w:tcPr>
          <w:p w14:paraId="3FE6ACE6">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eastAsia="zh-CN"/>
              </w:rPr>
            </w:pPr>
            <w:r>
              <w:rPr>
                <w:rFonts w:hint="eastAsia" w:ascii="宋体" w:hAnsi="宋体" w:eastAsia="宋体" w:cs="宋体"/>
                <w:b w:val="0"/>
                <w:bCs/>
                <w:kern w:val="0"/>
                <w:sz w:val="21"/>
                <w:szCs w:val="21"/>
                <w:highlight w:val="none"/>
                <w:lang w:val="en-US" w:eastAsia="zh-CN"/>
              </w:rPr>
              <w:t>4</w:t>
            </w:r>
          </w:p>
        </w:tc>
        <w:tc>
          <w:tcPr>
            <w:tcW w:w="1401" w:type="dxa"/>
            <w:vAlign w:val="center"/>
          </w:tcPr>
          <w:p w14:paraId="5C845B1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项目管理负责人</w:t>
            </w:r>
          </w:p>
        </w:tc>
        <w:tc>
          <w:tcPr>
            <w:tcW w:w="5074" w:type="dxa"/>
            <w:vAlign w:val="center"/>
          </w:tcPr>
          <w:p w14:paraId="6F4DB60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具有水利工程注册监理工程师的得1分；具有国家咨询工程师（投资）登记证书的得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具有注册安全工程师证的得1分，</w:t>
            </w:r>
            <w:r>
              <w:rPr>
                <w:rFonts w:hint="eastAsia" w:ascii="宋体" w:hAnsi="宋体" w:eastAsia="宋体" w:cs="宋体"/>
                <w:b w:val="0"/>
                <w:bCs/>
                <w:kern w:val="0"/>
                <w:sz w:val="21"/>
                <w:szCs w:val="21"/>
                <w:highlight w:val="none"/>
                <w:lang w:val="zh-CN"/>
              </w:rPr>
              <w:t>具有工程类高级及以上</w:t>
            </w:r>
            <w:r>
              <w:rPr>
                <w:rFonts w:hint="eastAsia" w:ascii="宋体" w:hAnsi="宋体" w:eastAsia="宋体" w:cs="宋体"/>
                <w:b w:val="0"/>
                <w:bCs/>
                <w:kern w:val="0"/>
                <w:sz w:val="21"/>
                <w:szCs w:val="21"/>
                <w:highlight w:val="none"/>
                <w:lang w:val="zh-CN" w:eastAsia="zh-CN"/>
              </w:rPr>
              <w:t>职称</w:t>
            </w:r>
            <w:r>
              <w:rPr>
                <w:rFonts w:hint="eastAsia" w:ascii="宋体" w:hAnsi="宋体" w:eastAsia="宋体" w:cs="宋体"/>
                <w:b w:val="0"/>
                <w:bCs/>
                <w:kern w:val="0"/>
                <w:sz w:val="21"/>
                <w:szCs w:val="21"/>
                <w:highlight w:val="none"/>
                <w:lang w:val="zh-CN"/>
              </w:rPr>
              <w:t>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4</w:t>
            </w:r>
            <w:r>
              <w:rPr>
                <w:rFonts w:hint="eastAsia" w:ascii="宋体" w:hAnsi="宋体" w:eastAsia="宋体" w:cs="宋体"/>
                <w:b w:val="0"/>
                <w:bCs/>
                <w:kern w:val="0"/>
                <w:sz w:val="21"/>
                <w:szCs w:val="21"/>
                <w:highlight w:val="none"/>
                <w:lang w:val="zh-CN"/>
              </w:rPr>
              <w:t>分。（注：需提供相应有效期内注册证书或职称证书或登记证书）</w:t>
            </w:r>
          </w:p>
        </w:tc>
        <w:tc>
          <w:tcPr>
            <w:tcW w:w="920" w:type="dxa"/>
            <w:vAlign w:val="center"/>
          </w:tcPr>
          <w:p w14:paraId="5519818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560A41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1823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jc w:val="center"/>
        </w:trPr>
        <w:tc>
          <w:tcPr>
            <w:tcW w:w="723" w:type="dxa"/>
            <w:vAlign w:val="center"/>
          </w:tcPr>
          <w:p w14:paraId="7AED367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5</w:t>
            </w:r>
          </w:p>
        </w:tc>
        <w:tc>
          <w:tcPr>
            <w:tcW w:w="1401" w:type="dxa"/>
            <w:vAlign w:val="center"/>
          </w:tcPr>
          <w:p w14:paraId="6C918A2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承担监理服务其他人员</w:t>
            </w:r>
          </w:p>
        </w:tc>
        <w:tc>
          <w:tcPr>
            <w:tcW w:w="5074" w:type="dxa"/>
            <w:vAlign w:val="center"/>
          </w:tcPr>
          <w:p w14:paraId="232F8838">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）监理人员具有水利工程注册监理工程师（水利工程施工监理专业）的得1分，具有水利工程注册监理工程师（水土保持工程施工监理专业）的得1分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本项最多得2分。（注：需提供有效期内的相关证书）</w:t>
            </w:r>
          </w:p>
          <w:p w14:paraId="083D516D">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eastAsia="zh-CN"/>
              </w:rPr>
              <w:t>2</w:t>
            </w:r>
            <w:r>
              <w:rPr>
                <w:rFonts w:hint="eastAsia" w:ascii="宋体" w:hAnsi="宋体" w:eastAsia="宋体" w:cs="宋体"/>
                <w:b w:val="0"/>
                <w:bCs/>
                <w:kern w:val="0"/>
                <w:sz w:val="21"/>
                <w:szCs w:val="21"/>
                <w:highlight w:val="none"/>
                <w:lang w:val="zh-CN"/>
              </w:rPr>
              <w:t>）监理人员具有水利工程注册监理工程师的得1分</w:t>
            </w:r>
            <w:r>
              <w:rPr>
                <w:rFonts w:hint="eastAsia" w:ascii="宋体" w:hAnsi="宋体" w:eastAsia="宋体" w:cs="宋体"/>
                <w:b w:val="0"/>
                <w:bCs/>
                <w:kern w:val="0"/>
                <w:sz w:val="21"/>
                <w:szCs w:val="21"/>
                <w:highlight w:val="none"/>
                <w:lang w:val="zh-CN" w:eastAsia="zh-CN"/>
              </w:rPr>
              <w:t>，所学专业为风景园林类的得1分，</w:t>
            </w:r>
            <w:r>
              <w:rPr>
                <w:rFonts w:hint="eastAsia" w:ascii="宋体" w:hAnsi="宋体" w:eastAsia="宋体" w:cs="宋体"/>
                <w:b w:val="0"/>
                <w:bCs/>
                <w:kern w:val="0"/>
                <w:sz w:val="21"/>
                <w:szCs w:val="21"/>
                <w:highlight w:val="none"/>
                <w:lang w:val="zh-CN"/>
              </w:rPr>
              <w:t>本项最多得2分。（注：需提供有效期内的相关证书</w:t>
            </w:r>
            <w:r>
              <w:rPr>
                <w:rFonts w:hint="eastAsia" w:ascii="宋体" w:hAnsi="宋体" w:eastAsia="宋体" w:cs="宋体"/>
                <w:b w:val="0"/>
                <w:bCs/>
                <w:kern w:val="0"/>
                <w:sz w:val="21"/>
                <w:szCs w:val="21"/>
                <w:highlight w:val="none"/>
                <w:lang w:val="zh-CN" w:eastAsia="zh-CN"/>
              </w:rPr>
              <w:t>及毕业证书</w:t>
            </w:r>
            <w:r>
              <w:rPr>
                <w:rFonts w:hint="eastAsia" w:ascii="宋体" w:hAnsi="宋体" w:eastAsia="宋体" w:cs="宋体"/>
                <w:b w:val="0"/>
                <w:bCs/>
                <w:kern w:val="0"/>
                <w:sz w:val="21"/>
                <w:szCs w:val="21"/>
                <w:highlight w:val="none"/>
                <w:lang w:val="zh-CN"/>
              </w:rPr>
              <w:t>）</w:t>
            </w:r>
          </w:p>
        </w:tc>
        <w:tc>
          <w:tcPr>
            <w:tcW w:w="920" w:type="dxa"/>
            <w:vAlign w:val="center"/>
          </w:tcPr>
          <w:p w14:paraId="4DA76D31">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689961B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02010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23" w:type="dxa"/>
            <w:vAlign w:val="center"/>
          </w:tcPr>
          <w:p w14:paraId="6A8AACA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6</w:t>
            </w:r>
          </w:p>
        </w:tc>
        <w:tc>
          <w:tcPr>
            <w:tcW w:w="1401" w:type="dxa"/>
            <w:vAlign w:val="center"/>
          </w:tcPr>
          <w:p w14:paraId="2F0793D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承担造价咨询服务其他人员</w:t>
            </w:r>
          </w:p>
        </w:tc>
        <w:tc>
          <w:tcPr>
            <w:tcW w:w="5074" w:type="dxa"/>
            <w:vAlign w:val="center"/>
          </w:tcPr>
          <w:p w14:paraId="7744FAE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配备</w:t>
            </w:r>
            <w:r>
              <w:rPr>
                <w:rFonts w:hint="eastAsia" w:ascii="宋体" w:hAnsi="宋体" w:eastAsia="宋体" w:cs="宋体"/>
                <w:b w:val="0"/>
                <w:bCs/>
                <w:kern w:val="0"/>
                <w:sz w:val="21"/>
                <w:szCs w:val="21"/>
                <w:highlight w:val="none"/>
                <w:lang w:val="zh-CN" w:eastAsia="zh-CN"/>
              </w:rPr>
              <w:t>人员具有二级及以上</w:t>
            </w:r>
            <w:r>
              <w:rPr>
                <w:rFonts w:hint="eastAsia" w:ascii="宋体" w:hAnsi="宋体" w:eastAsia="宋体" w:cs="宋体"/>
                <w:b w:val="0"/>
                <w:bCs/>
                <w:kern w:val="0"/>
                <w:sz w:val="21"/>
                <w:szCs w:val="21"/>
                <w:highlight w:val="none"/>
                <w:lang w:val="zh-CN"/>
              </w:rPr>
              <w:t>注册造价工程师证（</w:t>
            </w:r>
            <w:r>
              <w:rPr>
                <w:rFonts w:hint="eastAsia" w:ascii="宋体" w:hAnsi="宋体" w:eastAsia="宋体" w:cs="宋体"/>
                <w:b w:val="0"/>
                <w:bCs/>
                <w:kern w:val="0"/>
                <w:sz w:val="21"/>
                <w:szCs w:val="21"/>
                <w:highlight w:val="none"/>
                <w:lang w:val="zh-CN" w:eastAsia="zh-CN"/>
              </w:rPr>
              <w:t>水利</w:t>
            </w:r>
            <w:r>
              <w:rPr>
                <w:rFonts w:hint="eastAsia" w:ascii="宋体" w:hAnsi="宋体" w:eastAsia="宋体" w:cs="宋体"/>
                <w:b w:val="0"/>
                <w:bCs/>
                <w:kern w:val="0"/>
                <w:sz w:val="21"/>
                <w:szCs w:val="21"/>
                <w:highlight w:val="none"/>
                <w:lang w:val="zh-CN"/>
              </w:rPr>
              <w:t>工程）</w:t>
            </w:r>
            <w:r>
              <w:rPr>
                <w:rFonts w:hint="eastAsia" w:ascii="宋体" w:hAnsi="宋体" w:eastAsia="宋体" w:cs="宋体"/>
                <w:b w:val="0"/>
                <w:bCs/>
                <w:kern w:val="0"/>
                <w:sz w:val="21"/>
                <w:szCs w:val="21"/>
                <w:highlight w:val="none"/>
                <w:lang w:val="zh-CN" w:eastAsia="zh-CN"/>
              </w:rPr>
              <w:t>的</w:t>
            </w:r>
            <w:r>
              <w:rPr>
                <w:rFonts w:hint="eastAsia" w:ascii="宋体" w:hAnsi="宋体" w:eastAsia="宋体" w:cs="宋体"/>
                <w:b w:val="0"/>
                <w:bCs/>
                <w:kern w:val="0"/>
                <w:sz w:val="21"/>
                <w:szCs w:val="21"/>
                <w:highlight w:val="none"/>
                <w:lang w:val="zh-CN"/>
              </w:rPr>
              <w:t>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；具备</w:t>
            </w:r>
            <w:r>
              <w:rPr>
                <w:rFonts w:hint="eastAsia" w:ascii="宋体" w:hAnsi="宋体" w:eastAsia="宋体" w:cs="宋体"/>
                <w:b w:val="0"/>
                <w:bCs/>
                <w:kern w:val="0"/>
                <w:sz w:val="21"/>
                <w:szCs w:val="21"/>
                <w:highlight w:val="none"/>
                <w:lang w:val="zh-CN"/>
              </w:rPr>
              <w:t>水利工程注册监理工程师的得1分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2</w:t>
            </w:r>
            <w:r>
              <w:rPr>
                <w:rFonts w:hint="eastAsia" w:ascii="宋体" w:hAnsi="宋体" w:eastAsia="宋体" w:cs="宋体"/>
                <w:b w:val="0"/>
                <w:bCs/>
                <w:kern w:val="0"/>
                <w:sz w:val="21"/>
                <w:szCs w:val="21"/>
                <w:highlight w:val="none"/>
                <w:lang w:val="zh-CN"/>
              </w:rPr>
              <w:t>分。（注：提供在有效期内的注册证书）</w:t>
            </w:r>
          </w:p>
        </w:tc>
        <w:tc>
          <w:tcPr>
            <w:tcW w:w="920" w:type="dxa"/>
            <w:vAlign w:val="center"/>
          </w:tcPr>
          <w:p w14:paraId="772A1AD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35BB9B0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73F53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23" w:type="dxa"/>
            <w:vAlign w:val="center"/>
          </w:tcPr>
          <w:p w14:paraId="737C095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7</w:t>
            </w:r>
          </w:p>
        </w:tc>
        <w:tc>
          <w:tcPr>
            <w:tcW w:w="1401" w:type="dxa"/>
            <w:vAlign w:val="center"/>
          </w:tcPr>
          <w:p w14:paraId="06747E6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承担项目管理</w:t>
            </w:r>
            <w:r>
              <w:rPr>
                <w:rFonts w:hint="eastAsia" w:ascii="宋体" w:hAnsi="宋体" w:cs="宋体"/>
                <w:b w:val="0"/>
                <w:bCs/>
                <w:kern w:val="0"/>
                <w:sz w:val="21"/>
                <w:szCs w:val="21"/>
                <w:highlight w:val="none"/>
                <w:lang w:val="en-US" w:eastAsia="zh-CN"/>
              </w:rPr>
              <w:t>的</w:t>
            </w:r>
            <w:r>
              <w:rPr>
                <w:rFonts w:hint="eastAsia" w:ascii="宋体" w:hAnsi="宋体" w:eastAsia="宋体" w:cs="宋体"/>
                <w:b w:val="0"/>
                <w:bCs/>
                <w:kern w:val="0"/>
                <w:sz w:val="21"/>
                <w:szCs w:val="21"/>
                <w:highlight w:val="none"/>
                <w:lang w:val="zh-CN"/>
              </w:rPr>
              <w:t>人员</w:t>
            </w:r>
          </w:p>
        </w:tc>
        <w:tc>
          <w:tcPr>
            <w:tcW w:w="5074" w:type="dxa"/>
            <w:vAlign w:val="center"/>
          </w:tcPr>
          <w:p w14:paraId="36D8F1A1">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配备</w:t>
            </w:r>
            <w:r>
              <w:rPr>
                <w:rFonts w:hint="eastAsia" w:ascii="宋体" w:hAnsi="宋体" w:eastAsia="宋体" w:cs="宋体"/>
                <w:b w:val="0"/>
                <w:bCs/>
                <w:kern w:val="0"/>
                <w:sz w:val="21"/>
                <w:szCs w:val="21"/>
                <w:highlight w:val="none"/>
                <w:lang w:val="zh-CN" w:eastAsia="zh-CN"/>
              </w:rPr>
              <w:t>人员具备</w:t>
            </w:r>
            <w:r>
              <w:rPr>
                <w:rFonts w:hint="eastAsia" w:ascii="宋体" w:hAnsi="宋体" w:eastAsia="宋体" w:cs="宋体"/>
                <w:b w:val="0"/>
                <w:bCs/>
                <w:kern w:val="0"/>
                <w:sz w:val="21"/>
                <w:szCs w:val="21"/>
                <w:highlight w:val="none"/>
                <w:lang w:val="zh-CN"/>
              </w:rPr>
              <w:t>水利工程注册监理工程师（水利工程施工监理专业）得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所学专业为安全工程类的得1分，</w:t>
            </w:r>
            <w:r>
              <w:rPr>
                <w:rFonts w:hint="eastAsia" w:ascii="宋体" w:hAnsi="宋体" w:eastAsia="宋体" w:cs="宋体"/>
                <w:b w:val="0"/>
                <w:bCs/>
                <w:kern w:val="0"/>
                <w:sz w:val="21"/>
                <w:szCs w:val="21"/>
                <w:highlight w:val="none"/>
                <w:lang w:val="zh-CN"/>
              </w:rPr>
              <w:t>本项最多得2分。（注：提供在有效期内的注册证书</w:t>
            </w:r>
            <w:r>
              <w:rPr>
                <w:rFonts w:hint="eastAsia" w:ascii="宋体" w:hAnsi="宋体" w:eastAsia="宋体" w:cs="宋体"/>
                <w:b w:val="0"/>
                <w:bCs/>
                <w:kern w:val="0"/>
                <w:sz w:val="21"/>
                <w:szCs w:val="21"/>
                <w:highlight w:val="none"/>
                <w:lang w:val="zh-CN" w:eastAsia="zh-CN"/>
              </w:rPr>
              <w:t>及毕业证书</w:t>
            </w:r>
            <w:r>
              <w:rPr>
                <w:rFonts w:hint="eastAsia" w:ascii="宋体" w:hAnsi="宋体" w:eastAsia="宋体" w:cs="宋体"/>
                <w:b w:val="0"/>
                <w:bCs/>
                <w:kern w:val="0"/>
                <w:sz w:val="21"/>
                <w:szCs w:val="21"/>
                <w:highlight w:val="none"/>
                <w:lang w:val="zh-CN"/>
              </w:rPr>
              <w:t>）</w:t>
            </w:r>
          </w:p>
        </w:tc>
        <w:tc>
          <w:tcPr>
            <w:tcW w:w="920" w:type="dxa"/>
            <w:vAlign w:val="center"/>
          </w:tcPr>
          <w:p w14:paraId="454B264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8768A5D">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2D05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3" w:type="dxa"/>
            <w:vAlign w:val="center"/>
          </w:tcPr>
          <w:p w14:paraId="08FDF54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Cs/>
                <w:kern w:val="0"/>
                <w:sz w:val="21"/>
                <w:szCs w:val="21"/>
                <w:highlight w:val="none"/>
                <w:lang w:val="en-US" w:eastAsia="zh-CN"/>
              </w:rPr>
            </w:pPr>
            <w:r>
              <w:rPr>
                <w:rFonts w:hint="eastAsia" w:ascii="宋体" w:hAnsi="宋体" w:cs="宋体"/>
                <w:bCs/>
                <w:kern w:val="0"/>
                <w:sz w:val="21"/>
                <w:szCs w:val="21"/>
                <w:highlight w:val="none"/>
                <w:lang w:val="en-US" w:eastAsia="zh-CN"/>
              </w:rPr>
              <w:t>8</w:t>
            </w:r>
          </w:p>
        </w:tc>
        <w:tc>
          <w:tcPr>
            <w:tcW w:w="1401" w:type="dxa"/>
            <w:vAlign w:val="center"/>
          </w:tcPr>
          <w:p w14:paraId="18E1BF4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业绩</w:t>
            </w:r>
          </w:p>
        </w:tc>
        <w:tc>
          <w:tcPr>
            <w:tcW w:w="5074" w:type="dxa"/>
            <w:vAlign w:val="center"/>
          </w:tcPr>
          <w:p w14:paraId="46CDDA52">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投标人自2021年1月以来承担过水利工程类似业绩的有一个得3分，最多得3分。</w:t>
            </w:r>
          </w:p>
        </w:tc>
        <w:tc>
          <w:tcPr>
            <w:tcW w:w="920" w:type="dxa"/>
            <w:vAlign w:val="center"/>
          </w:tcPr>
          <w:p w14:paraId="4F54078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c>
          <w:tcPr>
            <w:tcW w:w="1080" w:type="dxa"/>
            <w:vAlign w:val="center"/>
          </w:tcPr>
          <w:p w14:paraId="7FF6A553">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r>
      <w:tr w14:paraId="3327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198" w:type="dxa"/>
            <w:gridSpan w:val="3"/>
            <w:vAlign w:val="center"/>
          </w:tcPr>
          <w:p w14:paraId="48DD3BDB">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合计</w:t>
            </w:r>
          </w:p>
        </w:tc>
        <w:tc>
          <w:tcPr>
            <w:tcW w:w="920" w:type="dxa"/>
            <w:vAlign w:val="center"/>
          </w:tcPr>
          <w:p w14:paraId="2A72BF8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c>
          <w:tcPr>
            <w:tcW w:w="1080" w:type="dxa"/>
            <w:vAlign w:val="center"/>
          </w:tcPr>
          <w:p w14:paraId="51B870ED">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r>
    </w:tbl>
    <w:p w14:paraId="06F93A3F">
      <w:pPr>
        <w:rPr>
          <w:highlight w:val="none"/>
        </w:rPr>
      </w:pPr>
    </w:p>
    <w:p w14:paraId="49CD407E">
      <w:pPr>
        <w:rPr>
          <w:rFonts w:hint="eastAsia" w:ascii="宋体" w:hAnsi="宋体" w:eastAsia="宋体" w:cs="宋体"/>
          <w:snapToGrid w:val="0"/>
          <w:kern w:val="0"/>
          <w:sz w:val="28"/>
          <w:szCs w:val="28"/>
          <w:highlight w:val="none"/>
        </w:rPr>
      </w:pPr>
      <w:r>
        <w:rPr>
          <w:highlight w:val="none"/>
        </w:rPr>
        <w:br w:type="page"/>
      </w:r>
    </w:p>
    <w:p w14:paraId="5AD61BBA">
      <w:pPr>
        <w:jc w:val="left"/>
        <w:rPr>
          <w:rFonts w:hint="eastAsia" w:ascii="宋体" w:hAnsi="宋体" w:eastAsia="宋体" w:cs="宋体"/>
          <w:snapToGrid w:val="0"/>
          <w:kern w:val="0"/>
          <w:sz w:val="28"/>
          <w:szCs w:val="28"/>
          <w:highlight w:val="none"/>
        </w:rPr>
      </w:pPr>
    </w:p>
    <w:p w14:paraId="74ECDED4">
      <w:pPr>
        <w:jc w:val="left"/>
        <w:rPr>
          <w:rFonts w:hint="eastAsia" w:ascii="宋体" w:hAnsi="宋体" w:eastAsia="宋体" w:cs="宋体"/>
          <w:snapToGrid w:val="0"/>
          <w:kern w:val="0"/>
          <w:sz w:val="28"/>
          <w:szCs w:val="28"/>
          <w:highlight w:val="none"/>
        </w:rPr>
      </w:pPr>
    </w:p>
    <w:p w14:paraId="6B563FDB">
      <w:pPr>
        <w:jc w:val="center"/>
        <w:rPr>
          <w:rFonts w:hint="eastAsia" w:ascii="宋体" w:hAnsi="宋体" w:eastAsia="宋体" w:cs="宋体"/>
          <w:b/>
          <w:bCs/>
          <w:snapToGrid w:val="0"/>
          <w:kern w:val="0"/>
          <w:sz w:val="48"/>
          <w:szCs w:val="48"/>
          <w:highlight w:val="none"/>
        </w:rPr>
      </w:pPr>
      <w:r>
        <w:rPr>
          <w:rFonts w:hint="eastAsia" w:ascii="宋体" w:hAnsi="宋体" w:eastAsia="宋体" w:cs="宋体"/>
          <w:b/>
          <w:bCs/>
          <w:snapToGrid w:val="0"/>
          <w:kern w:val="0"/>
          <w:sz w:val="48"/>
          <w:szCs w:val="48"/>
          <w:highlight w:val="none"/>
        </w:rPr>
        <w:t>__________（项目名称）</w:t>
      </w:r>
    </w:p>
    <w:p w14:paraId="209C8C03">
      <w:pPr>
        <w:jc w:val="center"/>
        <w:rPr>
          <w:rFonts w:hint="eastAsia" w:ascii="宋体" w:hAnsi="宋体" w:eastAsia="宋体" w:cs="宋体"/>
          <w:b/>
          <w:bCs/>
          <w:snapToGrid w:val="0"/>
          <w:kern w:val="0"/>
          <w:sz w:val="48"/>
          <w:szCs w:val="48"/>
          <w:highlight w:val="none"/>
        </w:rPr>
      </w:pPr>
      <w:r>
        <w:rPr>
          <w:rFonts w:hint="eastAsia" w:ascii="宋体" w:hAnsi="宋体" w:eastAsia="宋体" w:cs="宋体"/>
          <w:b/>
          <w:bCs/>
          <w:snapToGrid w:val="0"/>
          <w:kern w:val="0"/>
          <w:sz w:val="48"/>
          <w:szCs w:val="48"/>
          <w:highlight w:val="none"/>
        </w:rPr>
        <w:t>全过程工程咨询服务招标</w:t>
      </w:r>
    </w:p>
    <w:p w14:paraId="2E5CC3EB">
      <w:pPr>
        <w:spacing w:line="360" w:lineRule="auto"/>
        <w:jc w:val="left"/>
        <w:rPr>
          <w:rFonts w:hint="eastAsia" w:ascii="宋体" w:hAnsi="宋体" w:eastAsia="宋体" w:cs="宋体"/>
          <w:snapToGrid w:val="0"/>
          <w:kern w:val="0"/>
          <w:sz w:val="28"/>
          <w:szCs w:val="28"/>
          <w:highlight w:val="none"/>
        </w:rPr>
      </w:pPr>
    </w:p>
    <w:p w14:paraId="691612BA">
      <w:pPr>
        <w:spacing w:line="360" w:lineRule="auto"/>
        <w:jc w:val="left"/>
        <w:rPr>
          <w:rFonts w:hint="eastAsia" w:ascii="宋体" w:hAnsi="宋体" w:eastAsia="宋体" w:cs="宋体"/>
          <w:snapToGrid w:val="0"/>
          <w:kern w:val="0"/>
          <w:sz w:val="28"/>
          <w:szCs w:val="28"/>
          <w:highlight w:val="none"/>
        </w:rPr>
      </w:pPr>
    </w:p>
    <w:p w14:paraId="6B7AAB13">
      <w:pPr>
        <w:spacing w:line="360" w:lineRule="auto"/>
        <w:jc w:val="left"/>
        <w:rPr>
          <w:rFonts w:hint="eastAsia" w:ascii="宋体" w:hAnsi="宋体" w:eastAsia="宋体" w:cs="宋体"/>
          <w:snapToGrid w:val="0"/>
          <w:kern w:val="0"/>
          <w:sz w:val="28"/>
          <w:szCs w:val="28"/>
          <w:highlight w:val="none"/>
        </w:rPr>
      </w:pPr>
    </w:p>
    <w:p w14:paraId="6ADDF56D">
      <w:pPr>
        <w:spacing w:line="360" w:lineRule="auto"/>
        <w:jc w:val="center"/>
        <w:rPr>
          <w:rFonts w:hint="eastAsia" w:ascii="宋体" w:hAnsi="宋体" w:eastAsia="宋体" w:cs="宋体"/>
          <w:b/>
          <w:bCs/>
          <w:snapToGrid w:val="0"/>
          <w:kern w:val="0"/>
          <w:sz w:val="72"/>
          <w:szCs w:val="72"/>
          <w:highlight w:val="none"/>
        </w:rPr>
      </w:pPr>
      <w:r>
        <w:rPr>
          <w:rFonts w:hint="eastAsia" w:ascii="宋体" w:hAnsi="宋体" w:eastAsia="宋体" w:cs="宋体"/>
          <w:b/>
          <w:bCs/>
          <w:snapToGrid w:val="0"/>
          <w:kern w:val="0"/>
          <w:sz w:val="72"/>
          <w:szCs w:val="72"/>
          <w:highlight w:val="none"/>
        </w:rPr>
        <w:t>投标文件</w:t>
      </w:r>
    </w:p>
    <w:p w14:paraId="2518A5B0">
      <w:pPr>
        <w:spacing w:line="360" w:lineRule="auto"/>
        <w:jc w:val="center"/>
        <w:rPr>
          <w:rFonts w:hint="eastAsia" w:ascii="宋体" w:hAnsi="宋体" w:eastAsia="宋体" w:cs="宋体"/>
          <w:b/>
          <w:bCs/>
          <w:snapToGrid w:val="0"/>
          <w:kern w:val="0"/>
          <w:sz w:val="72"/>
          <w:szCs w:val="72"/>
          <w:highlight w:val="none"/>
        </w:rPr>
      </w:pPr>
    </w:p>
    <w:p w14:paraId="4A6FD91C">
      <w:pPr>
        <w:spacing w:line="360" w:lineRule="auto"/>
        <w:jc w:val="center"/>
        <w:rPr>
          <w:rFonts w:hint="default" w:ascii="宋体" w:hAnsi="宋体" w:eastAsia="宋体" w:cs="宋体"/>
          <w:snapToGrid w:val="0"/>
          <w:kern w:val="0"/>
          <w:sz w:val="44"/>
          <w:szCs w:val="44"/>
          <w:highlight w:val="none"/>
          <w:lang w:val="en-US" w:eastAsia="zh-CN"/>
        </w:rPr>
      </w:pPr>
      <w:r>
        <w:rPr>
          <w:rFonts w:hint="eastAsia" w:ascii="宋体" w:hAnsi="宋体" w:eastAsia="宋体" w:cs="宋体"/>
          <w:snapToGrid w:val="0"/>
          <w:kern w:val="0"/>
          <w:sz w:val="44"/>
          <w:szCs w:val="44"/>
          <w:highlight w:val="none"/>
          <w:lang w:val="en-US" w:eastAsia="zh-CN"/>
        </w:rPr>
        <w:t>技术部分（暗标）</w:t>
      </w:r>
    </w:p>
    <w:p w14:paraId="68FE3562">
      <w:pPr>
        <w:spacing w:line="360" w:lineRule="auto"/>
        <w:jc w:val="left"/>
        <w:rPr>
          <w:rFonts w:hint="eastAsia" w:ascii="宋体" w:hAnsi="宋体" w:eastAsia="宋体" w:cs="宋体"/>
          <w:snapToGrid w:val="0"/>
          <w:kern w:val="0"/>
          <w:sz w:val="44"/>
          <w:szCs w:val="44"/>
          <w:highlight w:val="none"/>
        </w:rPr>
      </w:pPr>
    </w:p>
    <w:p w14:paraId="2BFDA131">
      <w:pPr>
        <w:spacing w:line="360" w:lineRule="auto"/>
        <w:jc w:val="left"/>
        <w:rPr>
          <w:rFonts w:hint="eastAsia" w:ascii="宋体" w:hAnsi="宋体" w:eastAsia="宋体" w:cs="宋体"/>
          <w:snapToGrid w:val="0"/>
          <w:kern w:val="0"/>
          <w:sz w:val="44"/>
          <w:szCs w:val="44"/>
          <w:highlight w:val="none"/>
        </w:rPr>
      </w:pPr>
    </w:p>
    <w:p w14:paraId="3C7EDB21">
      <w:pPr>
        <w:spacing w:line="360" w:lineRule="auto"/>
        <w:jc w:val="left"/>
        <w:rPr>
          <w:rFonts w:hint="eastAsia" w:ascii="宋体" w:hAnsi="宋体" w:eastAsia="宋体" w:cs="宋体"/>
          <w:snapToGrid w:val="0"/>
          <w:kern w:val="0"/>
          <w:sz w:val="44"/>
          <w:szCs w:val="44"/>
          <w:highlight w:val="none"/>
        </w:rPr>
      </w:pPr>
    </w:p>
    <w:p w14:paraId="39E4C81C">
      <w:pPr>
        <w:spacing w:line="360" w:lineRule="auto"/>
        <w:jc w:val="left"/>
        <w:rPr>
          <w:rFonts w:hint="eastAsia" w:ascii="宋体" w:hAnsi="宋体" w:eastAsia="宋体" w:cs="宋体"/>
          <w:snapToGrid w:val="0"/>
          <w:kern w:val="0"/>
          <w:sz w:val="44"/>
          <w:szCs w:val="44"/>
          <w:highlight w:val="none"/>
        </w:rPr>
      </w:pPr>
    </w:p>
    <w:p w14:paraId="50CF1210">
      <w:pPr>
        <w:spacing w:line="360" w:lineRule="auto"/>
        <w:jc w:val="left"/>
        <w:rPr>
          <w:rFonts w:hint="eastAsia" w:ascii="宋体" w:hAnsi="宋体" w:eastAsia="宋体" w:cs="宋体"/>
          <w:snapToGrid w:val="0"/>
          <w:kern w:val="0"/>
          <w:sz w:val="44"/>
          <w:szCs w:val="44"/>
          <w:highlight w:val="none"/>
        </w:rPr>
      </w:pPr>
    </w:p>
    <w:p w14:paraId="711BED11">
      <w:pPr>
        <w:spacing w:line="360" w:lineRule="auto"/>
        <w:jc w:val="center"/>
        <w:rPr>
          <w:rFonts w:hint="eastAsia" w:ascii="宋体" w:hAnsi="宋体" w:eastAsia="宋体" w:cs="宋体"/>
          <w:snapToGrid w:val="0"/>
          <w:kern w:val="0"/>
          <w:sz w:val="28"/>
          <w:szCs w:val="28"/>
          <w:highlight w:val="none"/>
        </w:rPr>
      </w:pPr>
    </w:p>
    <w:p w14:paraId="6592FE5E">
      <w:pPr>
        <w:spacing w:line="360" w:lineRule="auto"/>
        <w:jc w:val="center"/>
        <w:rPr>
          <w:rFonts w:hint="eastAsia" w:ascii="宋体" w:hAnsi="宋体" w:eastAsia="宋体" w:cs="宋体"/>
          <w:snapToGrid w:val="0"/>
          <w:kern w:val="0"/>
          <w:sz w:val="28"/>
          <w:szCs w:val="28"/>
          <w:highlight w:val="none"/>
        </w:rPr>
      </w:pPr>
      <w:r>
        <w:rPr>
          <w:rFonts w:hint="eastAsia" w:ascii="宋体" w:hAnsi="宋体" w:eastAsia="宋体" w:cs="宋体"/>
          <w:snapToGrid w:val="0"/>
          <w:kern w:val="0"/>
          <w:sz w:val="28"/>
          <w:szCs w:val="28"/>
          <w:highlight w:val="none"/>
        </w:rPr>
        <w:t>_______年____月____日</w:t>
      </w:r>
    </w:p>
    <w:p w14:paraId="3FC883A3">
      <w:pPr>
        <w:jc w:val="left"/>
        <w:rPr>
          <w:rFonts w:hint="eastAsia" w:ascii="宋体" w:hAnsi="宋体" w:eastAsia="宋体" w:cs="宋体"/>
          <w:highlight w:val="none"/>
        </w:rPr>
      </w:pPr>
      <w:r>
        <w:rPr>
          <w:rFonts w:hint="eastAsia" w:ascii="宋体" w:hAnsi="宋体" w:eastAsia="宋体" w:cs="宋体"/>
          <w:highlight w:val="none"/>
        </w:rPr>
        <w:br w:type="page"/>
      </w:r>
    </w:p>
    <w:p w14:paraId="6E6896CB">
      <w:pPr>
        <w:jc w:val="center"/>
        <w:rPr>
          <w:rFonts w:hint="eastAsia" w:ascii="宋体" w:hAnsi="宋体"/>
          <w:b/>
          <w:bCs w:val="0"/>
          <w:color w:val="000000"/>
          <w:sz w:val="32"/>
          <w:szCs w:val="32"/>
          <w:highlight w:val="none"/>
          <w:lang w:eastAsia="zh-CN"/>
        </w:rPr>
      </w:pPr>
      <w:r>
        <w:rPr>
          <w:rFonts w:hint="eastAsia" w:ascii="宋体" w:hAnsi="宋体"/>
          <w:b/>
          <w:bCs w:val="0"/>
          <w:color w:val="000000"/>
          <w:sz w:val="32"/>
          <w:szCs w:val="32"/>
          <w:highlight w:val="none"/>
          <w:lang w:eastAsia="zh-CN"/>
        </w:rPr>
        <w:t>全过程工程咨询服务实施方案</w:t>
      </w:r>
    </w:p>
    <w:p w14:paraId="7262079F">
      <w:pPr>
        <w:jc w:val="center"/>
        <w:rPr>
          <w:sz w:val="28"/>
          <w:szCs w:val="28"/>
          <w:highlight w:val="none"/>
        </w:rPr>
      </w:pPr>
      <w:r>
        <w:rPr>
          <w:rFonts w:hint="eastAsia"/>
          <w:sz w:val="28"/>
          <w:szCs w:val="28"/>
          <w:highlight w:val="none"/>
          <w:lang w:eastAsia="zh-CN"/>
        </w:rPr>
        <w:t>（</w:t>
      </w:r>
      <w:r>
        <w:rPr>
          <w:rFonts w:hint="eastAsia"/>
          <w:sz w:val="28"/>
          <w:szCs w:val="28"/>
          <w:highlight w:val="none"/>
          <w:lang w:val="en-US" w:eastAsia="zh-CN"/>
        </w:rPr>
        <w:t>格式自拟，符合文件暗标要求</w:t>
      </w:r>
      <w:r>
        <w:rPr>
          <w:rFonts w:hint="eastAsia"/>
          <w:sz w:val="28"/>
          <w:szCs w:val="28"/>
          <w:highlight w:val="none"/>
          <w:lang w:eastAsia="zh-CN"/>
        </w:rPr>
        <w:t>）</w:t>
      </w:r>
    </w:p>
    <w:sectPr>
      <w:headerReference r:id="rId17" w:type="default"/>
      <w:footerReference r:id="rId18" w:type="default"/>
      <w:pgSz w:w="11906" w:h="16838"/>
      <w:pgMar w:top="1418" w:right="1418" w:bottom="1418" w:left="1474" w:header="851" w:footer="992" w:gutter="0"/>
      <w:pgNumType w:chapStyle="1"/>
      <w:cols w:space="72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KNLe">
    <w:altName w:val="Times New Roman"/>
    <w:panose1 w:val="00000000000000000000"/>
    <w:charset w:val="00"/>
    <w:family w:val="auto"/>
    <w:pitch w:val="default"/>
    <w:sig w:usb0="00000000" w:usb1="00000000" w:usb2="00000000"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FE464">
    <w:pPr>
      <w:pStyle w:val="21"/>
      <w:ind w:right="360"/>
      <w:jc w:val="both"/>
      <w:rPr>
        <w:rFonts w:asci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EBAAF4A">
                          <w:pPr>
                            <w:pStyle w:val="21"/>
                          </w:pPr>
                          <w:r>
                            <w:fldChar w:fldCharType="begin"/>
                          </w:r>
                          <w:r>
                            <w:instrText xml:space="preserve"> PAGE  \* MERGEFORMAT </w:instrText>
                          </w:r>
                          <w:r>
                            <w:fldChar w:fldCharType="separate"/>
                          </w:r>
                          <w:r>
                            <w:t>- 68 -</w:t>
                          </w:r>
                          <w:r>
                            <w:fldChar w:fldCharType="end"/>
                          </w:r>
                        </w:p>
                      </w:txbxContent>
                    </wps:txbx>
                    <wps:bodyPr wrap="none" lIns="0" tIns="0" rIns="0" bIns="0" upright="1">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BE68M4BAACoAwAADgAAAGRycy9lMm9Eb2MueG1srVPNjtMwEL4j8Q6W&#10;7zRph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K86csPTgl+/fLj9+XX5+Za+X&#10;SZ8+YEVlD4EK43DnB9qaOY4UTLSHFmz6EiFGeVL3fFVXDZHJdGm9Wq9LSknKzQ7hF4/XA2B8q7xl&#10;yag50PNlVcXpPcaxdC5J3Zy/18bkJzTurwBhjhGVd2C6nZiMEycrDvthorf3zZnY9bQHNXe09pyZ&#10;d45kTiszGzAb+9k4BtCHjgZd5ikx3B4jjZQnTR1GWGKYHHrAzHVatrQhf/q56vEH2/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JAROvDOAQAAqAMAAA4AAAAAAAAAAQAgAAAAHgEAAGRycy9l&#10;Mm9Eb2MueG1sUEsFBgAAAAAGAAYAWQEAAF4FAAAAAA==&#10;">
              <v:fill on="f" focussize="0,0"/>
              <v:stroke on="f"/>
              <v:imagedata o:title=""/>
              <o:lock v:ext="edit" aspectratio="f"/>
              <v:textbox inset="0mm,0mm,0mm,0mm" style="mso-fit-shape-to-text:t;">
                <w:txbxContent>
                  <w:p w14:paraId="4EBAAF4A">
                    <w:pPr>
                      <w:pStyle w:val="21"/>
                    </w:pPr>
                    <w:r>
                      <w:fldChar w:fldCharType="begin"/>
                    </w:r>
                    <w:r>
                      <w:instrText xml:space="preserve"> PAGE  \* MERGEFORMAT </w:instrText>
                    </w:r>
                    <w:r>
                      <w:fldChar w:fldCharType="separate"/>
                    </w:r>
                    <w:r>
                      <w:t>- 68 -</w:t>
                    </w:r>
                    <w: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657F556">
                          <w:pPr>
                            <w:pStyle w:val="21"/>
                            <w:rPr>
                              <w:rStyle w:val="39"/>
                              <w:sz w:val="24"/>
                              <w:szCs w:val="24"/>
                            </w:rPr>
                          </w:pPr>
                          <w:r>
                            <w:rPr>
                              <w:rStyle w:val="39"/>
                              <w:sz w:val="24"/>
                              <w:szCs w:val="24"/>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14:paraId="3657F556">
                    <w:pPr>
                      <w:pStyle w:val="21"/>
                      <w:rPr>
                        <w:rStyle w:val="39"/>
                        <w:sz w:val="24"/>
                        <w:szCs w:val="24"/>
                      </w:rPr>
                    </w:pPr>
                    <w:r>
                      <w:rPr>
                        <w:rStyle w:val="39"/>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145D9">
    <w:pPr>
      <w:pStyle w:val="21"/>
      <w:framePr w:wrap="around" w:vAnchor="text" w:hAnchor="margin" w:xAlign="outside" w:y="1"/>
      <w:rPr>
        <w:rStyle w:val="39"/>
        <w:sz w:val="24"/>
        <w:szCs w:val="24"/>
      </w:rPr>
    </w:pPr>
    <w:r>
      <w:rPr>
        <w:rStyle w:val="39"/>
        <w:rFonts w:hint="eastAsia"/>
        <w:sz w:val="24"/>
        <w:szCs w:val="24"/>
      </w:rPr>
      <w:t xml:space="preserve">— </w:t>
    </w:r>
    <w:r>
      <w:rPr>
        <w:sz w:val="24"/>
        <w:szCs w:val="24"/>
      </w:rPr>
      <w:fldChar w:fldCharType="begin"/>
    </w:r>
    <w:r>
      <w:rPr>
        <w:rStyle w:val="39"/>
        <w:sz w:val="24"/>
        <w:szCs w:val="24"/>
      </w:rPr>
      <w:instrText xml:space="preserve">PAGE  </w:instrText>
    </w:r>
    <w:r>
      <w:rPr>
        <w:sz w:val="24"/>
        <w:szCs w:val="24"/>
      </w:rPr>
      <w:fldChar w:fldCharType="separate"/>
    </w:r>
    <w:r>
      <w:rPr>
        <w:rStyle w:val="39"/>
        <w:sz w:val="24"/>
        <w:szCs w:val="24"/>
      </w:rPr>
      <w:t>2</w:t>
    </w:r>
    <w:r>
      <w:rPr>
        <w:sz w:val="24"/>
        <w:szCs w:val="24"/>
      </w:rPr>
      <w:fldChar w:fldCharType="end"/>
    </w:r>
    <w:r>
      <w:rPr>
        <w:rStyle w:val="39"/>
        <w:rFonts w:hint="eastAsia"/>
        <w:sz w:val="24"/>
        <w:szCs w:val="24"/>
      </w:rPr>
      <w:t xml:space="preserve"> —</w:t>
    </w:r>
  </w:p>
  <w:p w14:paraId="10E154A0">
    <w:pPr>
      <w:pStyle w:val="2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BB84A">
    <w:pPr>
      <w:pStyle w:val="21"/>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CDD53">
    <w:pPr>
      <w:pStyle w:val="21"/>
      <w:jc w:val="center"/>
    </w:pPr>
    <w:r>
      <w:fldChar w:fldCharType="begin"/>
    </w:r>
    <w:r>
      <w:instrText xml:space="preserve"> PAGE   \* MERGEFORMAT </w:instrText>
    </w:r>
    <w:r>
      <w:fldChar w:fldCharType="separate"/>
    </w:r>
    <w:r>
      <w:rPr>
        <w:lang w:val="zh-CN"/>
      </w:rPr>
      <w:t>-</w:t>
    </w:r>
    <w:r>
      <w:t xml:space="preserve"> 1 -</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32C87">
    <w:pPr>
      <w:pStyle w:val="21"/>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40 -</w:t>
    </w:r>
    <w:r>
      <w:rPr>
        <w:sz w:val="24"/>
        <w:szCs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92C17">
    <w:pPr>
      <w:pStyle w:val="21"/>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rStyle w:val="39"/>
        <w:szCs w:val="18"/>
      </w:rPr>
      <w:t>- 56 -</w:t>
    </w:r>
    <w:r>
      <w:rPr>
        <w:sz w:val="24"/>
        <w:szCs w:val="24"/>
      </w:rPr>
      <w:fldChar w:fldCharType="end"/>
    </w:r>
  </w:p>
  <w:p w14:paraId="1FBD5289">
    <w:pPr>
      <w:pStyle w:val="21"/>
      <w:jc w:val="center"/>
      <w:rPr>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3B0B">
    <w:pPr>
      <w:pStyle w:val="21"/>
      <w:jc w:val="center"/>
    </w:pPr>
    <w:r>
      <w:fldChar w:fldCharType="begin"/>
    </w:r>
    <w:r>
      <w:instrText xml:space="preserve"> PAGE   \* MERGEFORMAT </w:instrText>
    </w:r>
    <w:r>
      <w:fldChar w:fldCharType="separate"/>
    </w:r>
    <w:r>
      <w:rPr>
        <w:lang w:val="zh-CN"/>
      </w:rPr>
      <w:t>59</w:t>
    </w:r>
    <w:r>
      <w:rPr>
        <w:lang w:val="zh-C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C7671">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8EF99C1">
                          <w:pPr>
                            <w:pStyle w:val="21"/>
                          </w:pPr>
                          <w:r>
                            <w:fldChar w:fldCharType="begin"/>
                          </w:r>
                          <w:r>
                            <w:instrText xml:space="preserve"> PAGE  \* MERGEFORMAT </w:instrText>
                          </w:r>
                          <w:r>
                            <w:fldChar w:fldCharType="separate"/>
                          </w:r>
                          <w:r>
                            <w:t>- 44 -</w:t>
                          </w:r>
                          <w:r>
                            <w:fldChar w:fldCharType="end"/>
                          </w:r>
                        </w:p>
                      </w:txbxContent>
                    </wps:txbx>
                    <wps:bodyPr wrap="none" lIns="0" tIns="0" rIns="0" bIns="0">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M7QL5scBAACcAwAADgAAAAAAAAABACAAAAAeAQAAZHJzL2Uyb0RvYy54&#10;bWxQSwUGAAAAAAYABgBZAQAAVwUAAAAA&#10;">
              <v:fill on="f" focussize="0,0"/>
              <v:stroke on="f"/>
              <v:imagedata o:title=""/>
              <o:lock v:ext="edit" aspectratio="f"/>
              <v:textbox inset="0mm,0mm,0mm,0mm" style="mso-fit-shape-to-text:t;">
                <w:txbxContent>
                  <w:p w14:paraId="28EF99C1">
                    <w:pPr>
                      <w:pStyle w:val="21"/>
                    </w:pPr>
                    <w:r>
                      <w:fldChar w:fldCharType="begin"/>
                    </w:r>
                    <w:r>
                      <w:instrText xml:space="preserve"> PAGE  \* MERGEFORMAT </w:instrText>
                    </w:r>
                    <w:r>
                      <w:fldChar w:fldCharType="separate"/>
                    </w:r>
                    <w:r>
                      <w:t>- 44 -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42A50">
    <w:pPr>
      <w:pStyle w:val="2"/>
      <w:kinsoku w:val="0"/>
      <w:overflowPunct w:val="0"/>
      <w:spacing w:line="14" w:lineRule="auto"/>
    </w:pPr>
    <w:r>
      <mc:AlternateContent>
        <mc:Choice Requires="wps">
          <w:drawing>
            <wp:anchor distT="0" distB="0" distL="114300" distR="114300" simplePos="0" relativeHeight="251660288" behindDoc="1" locked="0" layoutInCell="0" allowOverlap="1">
              <wp:simplePos x="0" y="0"/>
              <wp:positionH relativeFrom="page">
                <wp:posOffset>3613785</wp:posOffset>
              </wp:positionH>
              <wp:positionV relativeFrom="page">
                <wp:posOffset>9916160</wp:posOffset>
              </wp:positionV>
              <wp:extent cx="274320" cy="152400"/>
              <wp:effectExtent l="0" t="0" r="0" b="0"/>
              <wp:wrapNone/>
              <wp:docPr id="6" name="文本框 47"/>
              <wp:cNvGraphicFramePr/>
              <a:graphic xmlns:a="http://schemas.openxmlformats.org/drawingml/2006/main">
                <a:graphicData uri="http://schemas.microsoft.com/office/word/2010/wordprocessingShape">
                  <wps:wsp>
                    <wps:cNvSpPr txBox="1"/>
                    <wps:spPr>
                      <a:xfrm>
                        <a:off x="0" y="0"/>
                        <a:ext cx="274320" cy="152400"/>
                      </a:xfrm>
                      <a:prstGeom prst="rect">
                        <a:avLst/>
                      </a:prstGeom>
                      <a:noFill/>
                      <a:ln>
                        <a:noFill/>
                      </a:ln>
                      <a:effectLst/>
                    </wps:spPr>
                    <wps:txbx>
                      <w:txbxContent>
                        <w:p w14:paraId="59826D67">
                          <w:pPr>
                            <w:pStyle w:val="2"/>
                            <w:kinsoku w:val="0"/>
                            <w:overflowPunct w:val="0"/>
                            <w:spacing w:before="12"/>
                            <w:ind w:left="20"/>
                            <w:rPr>
                              <w:sz w:val="18"/>
                              <w:szCs w:val="18"/>
                            </w:rPr>
                          </w:pPr>
                          <w:r>
                            <w:rPr>
                              <w:sz w:val="18"/>
                              <w:szCs w:val="18"/>
                            </w:rPr>
                            <w:t xml:space="preserve">- </w:t>
                          </w:r>
                          <w:r>
                            <w:rPr>
                              <w:sz w:val="18"/>
                              <w:szCs w:val="18"/>
                            </w:rPr>
                            <w:fldChar w:fldCharType="begin"/>
                          </w:r>
                          <w:r>
                            <w:rPr>
                              <w:sz w:val="18"/>
                              <w:szCs w:val="18"/>
                            </w:rPr>
                            <w:instrText xml:space="preserve"> PAGE </w:instrText>
                          </w:r>
                          <w:r>
                            <w:rPr>
                              <w:sz w:val="18"/>
                              <w:szCs w:val="18"/>
                            </w:rPr>
                            <w:fldChar w:fldCharType="separate"/>
                          </w:r>
                          <w:r>
                            <w:rPr>
                              <w:sz w:val="18"/>
                              <w:szCs w:val="18"/>
                            </w:rPr>
                            <w:t>50</w:t>
                          </w:r>
                          <w:r>
                            <w:rPr>
                              <w:sz w:val="18"/>
                              <w:szCs w:val="18"/>
                            </w:rPr>
                            <w:fldChar w:fldCharType="end"/>
                          </w:r>
                          <w:r>
                            <w:rPr>
                              <w:sz w:val="18"/>
                              <w:szCs w:val="18"/>
                            </w:rPr>
                            <w:t xml:space="preserve">  -</w:t>
                          </w:r>
                        </w:p>
                      </w:txbxContent>
                    </wps:txbx>
                    <wps:bodyPr wrap="square" lIns="0" tIns="0" rIns="0" bIns="0" upright="1"/>
                  </wps:wsp>
                </a:graphicData>
              </a:graphic>
            </wp:anchor>
          </w:drawing>
        </mc:Choice>
        <mc:Fallback>
          <w:pict>
            <v:shape id="文本框 47" o:spid="_x0000_s1026" o:spt="202" type="#_x0000_t202" style="position:absolute;left:0pt;margin-left:284.55pt;margin-top:780.8pt;height:12pt;width:21.6pt;mso-position-horizontal-relative:page;mso-position-vertical-relative:page;z-index:-251656192;mso-width-relative:page;mso-height-relative:page;" filled="f" stroked="f" coordsize="21600,21600" o:allowincell="f" o:gfxdata="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flfytoAAAANAQAADwAAAAAAAAABACAAAAAiAAAAZHJz&#10;L2Rvd25yZXYueG1sUEsBAhQAFAAAAAgAh07iQOSvirzJAQAAjgMAAA4AAAAAAAAAAQAgAAAAKQEA&#10;AGRycy9lMm9Eb2MueG1sUEsFBgAAAAAGAAYAWQEAAGQFAAAAAA==&#10;">
              <v:fill on="f" focussize="0,0"/>
              <v:stroke on="f"/>
              <v:imagedata o:title=""/>
              <o:lock v:ext="edit" aspectratio="f"/>
              <v:textbox inset="0mm,0mm,0mm,0mm">
                <w:txbxContent>
                  <w:p w14:paraId="59826D67">
                    <w:pPr>
                      <w:pStyle w:val="2"/>
                      <w:kinsoku w:val="0"/>
                      <w:overflowPunct w:val="0"/>
                      <w:spacing w:before="12"/>
                      <w:ind w:left="20"/>
                      <w:rPr>
                        <w:sz w:val="18"/>
                        <w:szCs w:val="18"/>
                      </w:rPr>
                    </w:pPr>
                    <w:r>
                      <w:rPr>
                        <w:sz w:val="18"/>
                        <w:szCs w:val="18"/>
                      </w:rPr>
                      <w:t xml:space="preserve">- </w:t>
                    </w:r>
                    <w:r>
                      <w:rPr>
                        <w:sz w:val="18"/>
                        <w:szCs w:val="18"/>
                      </w:rPr>
                      <w:fldChar w:fldCharType="begin"/>
                    </w:r>
                    <w:r>
                      <w:rPr>
                        <w:sz w:val="18"/>
                        <w:szCs w:val="18"/>
                      </w:rPr>
                      <w:instrText xml:space="preserve"> PAGE </w:instrText>
                    </w:r>
                    <w:r>
                      <w:rPr>
                        <w:sz w:val="18"/>
                        <w:szCs w:val="18"/>
                      </w:rPr>
                      <w:fldChar w:fldCharType="separate"/>
                    </w:r>
                    <w:r>
                      <w:rPr>
                        <w:sz w:val="18"/>
                        <w:szCs w:val="18"/>
                      </w:rPr>
                      <w:t>50</w:t>
                    </w:r>
                    <w:r>
                      <w:rPr>
                        <w:sz w:val="18"/>
                        <w:szCs w:val="18"/>
                      </w:rPr>
                      <w:fldChar w:fldCharType="end"/>
                    </w:r>
                    <w:r>
                      <w:rPr>
                        <w:sz w:val="18"/>
                        <w:szCs w:val="1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18C2C">
    <w:pPr>
      <w:pStyle w:val="21"/>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16DB08">
                          <w:pPr>
                            <w:pStyle w:val="21"/>
                          </w:pPr>
                          <w:r>
                            <w:fldChar w:fldCharType="begin"/>
                          </w:r>
                          <w:r>
                            <w:instrText xml:space="preserve"> PAGE  \* MERGEFORMAT </w:instrText>
                          </w:r>
                          <w:r>
                            <w:fldChar w:fldCharType="separate"/>
                          </w:r>
                          <w:r>
                            <w:t>- 55 -</w:t>
                          </w:r>
                          <w:r>
                            <w:fldChar w:fldCharType="end"/>
                          </w:r>
                        </w:p>
                      </w:txbxContent>
                    </wps:txbx>
                    <wps:bodyPr wrap="none" lIns="0" tIns="0" rIns="0" bIns="0">
                      <a:spAutoFit/>
                    </wps:bodyPr>
                  </wps:wsp>
                </a:graphicData>
              </a:graphic>
            </wp:anchor>
          </w:drawing>
        </mc:Choice>
        <mc:Fallback>
          <w:pict>
            <v:shape id="文本框 44"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KNcY4scBAACcAwAADgAAAAAAAAABACAAAAAeAQAAZHJzL2Uyb0RvYy54&#10;bWxQSwUGAAAAAAYABgBZAQAAVwUAAAAA&#10;">
              <v:fill on="f" focussize="0,0"/>
              <v:stroke on="f"/>
              <v:imagedata o:title=""/>
              <o:lock v:ext="edit" aspectratio="f"/>
              <v:textbox inset="0mm,0mm,0mm,0mm" style="mso-fit-shape-to-text:t;">
                <w:txbxContent>
                  <w:p w14:paraId="0B16DB08">
                    <w:pPr>
                      <w:pStyle w:val="21"/>
                    </w:pPr>
                    <w:r>
                      <w:fldChar w:fldCharType="begin"/>
                    </w:r>
                    <w:r>
                      <w:instrText xml:space="preserve"> PAGE  \* MERGEFORMAT </w:instrText>
                    </w:r>
                    <w:r>
                      <w:fldChar w:fldCharType="separate"/>
                    </w:r>
                    <w:r>
                      <w:t>- 55 -</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B47B3">
    <w:pPr>
      <w:jc w:val="center"/>
      <w:rPr>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B7C64C9">
                          <w:pPr>
                            <w:pStyle w:val="21"/>
                          </w:pPr>
                          <w:r>
                            <w:fldChar w:fldCharType="begin"/>
                          </w:r>
                          <w:r>
                            <w:instrText xml:space="preserve"> PAGE  \* MERGEFORMAT </w:instrText>
                          </w:r>
                          <w:r>
                            <w:fldChar w:fldCharType="separate"/>
                          </w:r>
                          <w:r>
                            <w:t>114</w:t>
                          </w:r>
                          <w:r>
                            <w:fldChar w:fldCharType="end"/>
                          </w:r>
                        </w:p>
                      </w:txbxContent>
                    </wps:txbx>
                    <wps:bodyPr wrap="none" lIns="0" tIns="0" rIns="0" bIns="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ymEHJ8cBAACcAwAADgAAAAAAAAABACAAAAAeAQAAZHJzL2Uyb0RvYy54&#10;bWxQSwUGAAAAAAYABgBZAQAAVwUAAAAA&#10;">
              <v:fill on="f" focussize="0,0"/>
              <v:stroke on="f"/>
              <v:imagedata o:title=""/>
              <o:lock v:ext="edit" aspectratio="f"/>
              <v:textbox inset="0mm,0mm,0mm,0mm" style="mso-fit-shape-to-text:t;">
                <w:txbxContent>
                  <w:p w14:paraId="7B7C64C9">
                    <w:pPr>
                      <w:pStyle w:val="21"/>
                    </w:pPr>
                    <w:r>
                      <w:fldChar w:fldCharType="begin"/>
                    </w:r>
                    <w:r>
                      <w:instrText xml:space="preserve"> PAGE  \* MERGEFORMAT </w:instrText>
                    </w:r>
                    <w:r>
                      <w:fldChar w:fldCharType="separate"/>
                    </w:r>
                    <w:r>
                      <w:t>114</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19B1A">
    <w:pPr>
      <w:pStyle w:val="21"/>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48 -</w:t>
    </w:r>
    <w:r>
      <w:rPr>
        <w:sz w:val="24"/>
        <w:szCs w:val="24"/>
      </w:rPr>
      <w:fldChar w:fldCharType="end"/>
    </w:r>
  </w:p>
  <w:p w14:paraId="76F7EE83">
    <w:pPr>
      <w:pStyle w:val="2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82AA0">
    <w:pPr>
      <w:pStyle w:val="21"/>
      <w:ind w:firstLine="230"/>
      <w:jc w:val="center"/>
      <w:rPr>
        <w:rFonts w:ascii="宋体"/>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3F284D2">
                          <w:pPr>
                            <w:pStyle w:val="21"/>
                          </w:pPr>
                          <w:r>
                            <w:fldChar w:fldCharType="begin"/>
                          </w:r>
                          <w:r>
                            <w:instrText xml:space="preserve"> PAGE  \* MERGEFORMAT </w:instrText>
                          </w:r>
                          <w:r>
                            <w:fldChar w:fldCharType="separate"/>
                          </w:r>
                          <w:r>
                            <w:t>94</w:t>
                          </w:r>
                          <w:r>
                            <w:fldChar w:fldCharType="end"/>
                          </w:r>
                        </w:p>
                      </w:txbxContent>
                    </wps:txbx>
                    <wps:bodyPr wrap="none" lIns="0" tIns="0" rIns="0" bIns="0" upright="1">
                      <a:spAutoFit/>
                    </wps:bodyPr>
                  </wps:wsp>
                </a:graphicData>
              </a:graphic>
            </wp:anchor>
          </w:drawing>
        </mc:Choice>
        <mc:Fallback>
          <w:pict>
            <v:shape id="文本框 4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LzD89XOAQAAqAMAAA4AAAAAAAAAAQAgAAAAHgEAAGRycy9l&#10;Mm9Eb2MueG1sUEsFBgAAAAAGAAYAWQEAAF4FAAAAAA==&#10;">
              <v:fill on="f" focussize="0,0"/>
              <v:stroke on="f"/>
              <v:imagedata o:title=""/>
              <o:lock v:ext="edit" aspectratio="f"/>
              <v:textbox inset="0mm,0mm,0mm,0mm" style="mso-fit-shape-to-text:t;">
                <w:txbxContent>
                  <w:p w14:paraId="43F284D2">
                    <w:pPr>
                      <w:pStyle w:val="21"/>
                    </w:pPr>
                    <w:r>
                      <w:fldChar w:fldCharType="begin"/>
                    </w:r>
                    <w:r>
                      <w:instrText xml:space="preserve"> PAGE  \* MERGEFORMAT </w:instrText>
                    </w:r>
                    <w:r>
                      <w:fldChar w:fldCharType="separate"/>
                    </w:r>
                    <w:r>
                      <w:t>94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9A561">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1296">
    <w:pPr>
      <w:pStyle w:val="2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F76A0">
    <w:pPr>
      <w:pStyle w:val="22"/>
      <w:pBdr>
        <w:bottom w:val="none" w:color="auto" w:sz="0" w:space="0"/>
      </w:pBdr>
      <w:ind w:firstLine="23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98E76"/>
    <w:multiLevelType w:val="singleLevel"/>
    <w:tmpl w:val="AF198E76"/>
    <w:lvl w:ilvl="0" w:tentative="0">
      <w:start w:val="1"/>
      <w:numFmt w:val="decimal"/>
      <w:suff w:val="nothing"/>
      <w:lvlText w:val="（%1）"/>
      <w:lvlJc w:val="left"/>
    </w:lvl>
  </w:abstractNum>
  <w:abstractNum w:abstractNumId="1">
    <w:nsid w:val="307507B6"/>
    <w:multiLevelType w:val="singleLevel"/>
    <w:tmpl w:val="307507B6"/>
    <w:lvl w:ilvl="0" w:tentative="0">
      <w:start w:val="1"/>
      <w:numFmt w:val="decimal"/>
      <w:lvlText w:val="(%1)"/>
      <w:lvlJc w:val="left"/>
      <w:pPr>
        <w:tabs>
          <w:tab w:val="left" w:pos="312"/>
        </w:tabs>
      </w:pPr>
    </w:lvl>
  </w:abstractNum>
  <w:abstractNum w:abstractNumId="2">
    <w:nsid w:val="63033F04"/>
    <w:multiLevelType w:val="multilevel"/>
    <w:tmpl w:val="63033F04"/>
    <w:lvl w:ilvl="0" w:tentative="0">
      <w:start w:val="1"/>
      <w:numFmt w:val="decimal"/>
      <w:lvlText w:val="（%1）"/>
      <w:lvlJc w:val="left"/>
      <w:pPr>
        <w:ind w:left="420" w:hanging="4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7CBA513D"/>
    <w:multiLevelType w:val="multilevel"/>
    <w:tmpl w:val="7CBA513D"/>
    <w:lvl w:ilvl="0" w:tentative="0">
      <w:start w:val="1"/>
      <w:numFmt w:val="none"/>
      <w:pStyle w:val="137"/>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dit="readOnly" w:enforcement="0"/>
  <w:defaultTabStop w:val="420"/>
  <w:drawingGridHorizontalSpacing w:val="105"/>
  <w:drawingGridVerticalSpacing w:val="143"/>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MTFkMDI3ZjBmZjczM2Q3M2EwOGI5M2VjYzUzMDkifQ=="/>
  </w:docVars>
  <w:rsids>
    <w:rsidRoot w:val="00172A27"/>
    <w:rsid w:val="000001CB"/>
    <w:rsid w:val="00000C3C"/>
    <w:rsid w:val="000028D6"/>
    <w:rsid w:val="00002E25"/>
    <w:rsid w:val="000037EB"/>
    <w:rsid w:val="00003FE6"/>
    <w:rsid w:val="00005070"/>
    <w:rsid w:val="0000627F"/>
    <w:rsid w:val="000066A0"/>
    <w:rsid w:val="00007AAC"/>
    <w:rsid w:val="0001024F"/>
    <w:rsid w:val="00011DC3"/>
    <w:rsid w:val="000120DF"/>
    <w:rsid w:val="00012217"/>
    <w:rsid w:val="000123C1"/>
    <w:rsid w:val="00012729"/>
    <w:rsid w:val="00012EE7"/>
    <w:rsid w:val="00014411"/>
    <w:rsid w:val="00017CA2"/>
    <w:rsid w:val="000210B2"/>
    <w:rsid w:val="000210B6"/>
    <w:rsid w:val="000238B8"/>
    <w:rsid w:val="00023F57"/>
    <w:rsid w:val="00023FB8"/>
    <w:rsid w:val="000240AC"/>
    <w:rsid w:val="0002412D"/>
    <w:rsid w:val="0002492D"/>
    <w:rsid w:val="00025F0A"/>
    <w:rsid w:val="00026093"/>
    <w:rsid w:val="000266D3"/>
    <w:rsid w:val="0002682E"/>
    <w:rsid w:val="00030253"/>
    <w:rsid w:val="000327A8"/>
    <w:rsid w:val="0003674C"/>
    <w:rsid w:val="00040B42"/>
    <w:rsid w:val="00040EA0"/>
    <w:rsid w:val="00041513"/>
    <w:rsid w:val="00041806"/>
    <w:rsid w:val="00041D16"/>
    <w:rsid w:val="000459D5"/>
    <w:rsid w:val="00045E78"/>
    <w:rsid w:val="00050DAE"/>
    <w:rsid w:val="00051809"/>
    <w:rsid w:val="00051D95"/>
    <w:rsid w:val="000533A2"/>
    <w:rsid w:val="00055354"/>
    <w:rsid w:val="00055973"/>
    <w:rsid w:val="0005694B"/>
    <w:rsid w:val="00060D94"/>
    <w:rsid w:val="0006170C"/>
    <w:rsid w:val="00061D79"/>
    <w:rsid w:val="00062215"/>
    <w:rsid w:val="00062CB2"/>
    <w:rsid w:val="00063DBD"/>
    <w:rsid w:val="0006440E"/>
    <w:rsid w:val="00064C47"/>
    <w:rsid w:val="00065046"/>
    <w:rsid w:val="00066F6B"/>
    <w:rsid w:val="00067AD4"/>
    <w:rsid w:val="000703B1"/>
    <w:rsid w:val="00073269"/>
    <w:rsid w:val="000733CA"/>
    <w:rsid w:val="00074527"/>
    <w:rsid w:val="000755D8"/>
    <w:rsid w:val="00075C39"/>
    <w:rsid w:val="00076376"/>
    <w:rsid w:val="000767B1"/>
    <w:rsid w:val="00076CC1"/>
    <w:rsid w:val="0007794F"/>
    <w:rsid w:val="00080C04"/>
    <w:rsid w:val="0008149D"/>
    <w:rsid w:val="00081800"/>
    <w:rsid w:val="00081B58"/>
    <w:rsid w:val="000822D4"/>
    <w:rsid w:val="00083851"/>
    <w:rsid w:val="00084241"/>
    <w:rsid w:val="000861C1"/>
    <w:rsid w:val="000915DA"/>
    <w:rsid w:val="0009279A"/>
    <w:rsid w:val="00092C67"/>
    <w:rsid w:val="00093770"/>
    <w:rsid w:val="000937EE"/>
    <w:rsid w:val="0009465C"/>
    <w:rsid w:val="000956D7"/>
    <w:rsid w:val="00095A05"/>
    <w:rsid w:val="00097305"/>
    <w:rsid w:val="00097971"/>
    <w:rsid w:val="00097BAD"/>
    <w:rsid w:val="000A0D14"/>
    <w:rsid w:val="000A0ECB"/>
    <w:rsid w:val="000A1157"/>
    <w:rsid w:val="000A3AE9"/>
    <w:rsid w:val="000A4222"/>
    <w:rsid w:val="000A4A4D"/>
    <w:rsid w:val="000A56EA"/>
    <w:rsid w:val="000A664F"/>
    <w:rsid w:val="000A71F1"/>
    <w:rsid w:val="000A7E44"/>
    <w:rsid w:val="000B0E84"/>
    <w:rsid w:val="000B0F82"/>
    <w:rsid w:val="000B1C05"/>
    <w:rsid w:val="000B1E3A"/>
    <w:rsid w:val="000B397C"/>
    <w:rsid w:val="000B4718"/>
    <w:rsid w:val="000B7A06"/>
    <w:rsid w:val="000C1312"/>
    <w:rsid w:val="000C1B80"/>
    <w:rsid w:val="000C1D86"/>
    <w:rsid w:val="000C25BC"/>
    <w:rsid w:val="000C2B7A"/>
    <w:rsid w:val="000C2E0A"/>
    <w:rsid w:val="000C68F2"/>
    <w:rsid w:val="000C7E27"/>
    <w:rsid w:val="000D0C5B"/>
    <w:rsid w:val="000D0E2B"/>
    <w:rsid w:val="000D19BA"/>
    <w:rsid w:val="000D1AF7"/>
    <w:rsid w:val="000D286F"/>
    <w:rsid w:val="000D3A33"/>
    <w:rsid w:val="000D7912"/>
    <w:rsid w:val="000D7AAD"/>
    <w:rsid w:val="000D7E0B"/>
    <w:rsid w:val="000E233F"/>
    <w:rsid w:val="000E2467"/>
    <w:rsid w:val="000E2652"/>
    <w:rsid w:val="000E2DBD"/>
    <w:rsid w:val="000E50F1"/>
    <w:rsid w:val="000E61C8"/>
    <w:rsid w:val="000E6D6B"/>
    <w:rsid w:val="000E7AEB"/>
    <w:rsid w:val="000E7E27"/>
    <w:rsid w:val="000F0843"/>
    <w:rsid w:val="000F0C61"/>
    <w:rsid w:val="000F0D60"/>
    <w:rsid w:val="000F31EC"/>
    <w:rsid w:val="000F4145"/>
    <w:rsid w:val="000F424E"/>
    <w:rsid w:val="000F42A8"/>
    <w:rsid w:val="000F5212"/>
    <w:rsid w:val="000F6288"/>
    <w:rsid w:val="000F7AB4"/>
    <w:rsid w:val="001012B0"/>
    <w:rsid w:val="00102C93"/>
    <w:rsid w:val="00104106"/>
    <w:rsid w:val="0010751F"/>
    <w:rsid w:val="00107D3E"/>
    <w:rsid w:val="001105C3"/>
    <w:rsid w:val="00110811"/>
    <w:rsid w:val="00111899"/>
    <w:rsid w:val="0011262D"/>
    <w:rsid w:val="001149D7"/>
    <w:rsid w:val="00115B1F"/>
    <w:rsid w:val="00115BD9"/>
    <w:rsid w:val="00115CA8"/>
    <w:rsid w:val="00115FAB"/>
    <w:rsid w:val="001219C0"/>
    <w:rsid w:val="00121D10"/>
    <w:rsid w:val="001239D0"/>
    <w:rsid w:val="00123B4E"/>
    <w:rsid w:val="001240A6"/>
    <w:rsid w:val="00124190"/>
    <w:rsid w:val="00126CAA"/>
    <w:rsid w:val="00126DF4"/>
    <w:rsid w:val="001300EF"/>
    <w:rsid w:val="00130641"/>
    <w:rsid w:val="00130CC2"/>
    <w:rsid w:val="00130D34"/>
    <w:rsid w:val="00131050"/>
    <w:rsid w:val="00131099"/>
    <w:rsid w:val="001315C8"/>
    <w:rsid w:val="0013221B"/>
    <w:rsid w:val="00132AFB"/>
    <w:rsid w:val="001354F4"/>
    <w:rsid w:val="00135B3C"/>
    <w:rsid w:val="00135E2E"/>
    <w:rsid w:val="00136C78"/>
    <w:rsid w:val="0013728E"/>
    <w:rsid w:val="00137C58"/>
    <w:rsid w:val="00137C96"/>
    <w:rsid w:val="001407A2"/>
    <w:rsid w:val="00142740"/>
    <w:rsid w:val="00144845"/>
    <w:rsid w:val="00144C34"/>
    <w:rsid w:val="00144D64"/>
    <w:rsid w:val="001456CE"/>
    <w:rsid w:val="0014610F"/>
    <w:rsid w:val="001463D3"/>
    <w:rsid w:val="00146706"/>
    <w:rsid w:val="0014693B"/>
    <w:rsid w:val="00152A05"/>
    <w:rsid w:val="0015413F"/>
    <w:rsid w:val="001542E3"/>
    <w:rsid w:val="00154F13"/>
    <w:rsid w:val="001550D9"/>
    <w:rsid w:val="00155131"/>
    <w:rsid w:val="00155C9D"/>
    <w:rsid w:val="001560E8"/>
    <w:rsid w:val="00156735"/>
    <w:rsid w:val="00157CAE"/>
    <w:rsid w:val="00162209"/>
    <w:rsid w:val="0016227E"/>
    <w:rsid w:val="00162ADD"/>
    <w:rsid w:val="00164A41"/>
    <w:rsid w:val="00165E80"/>
    <w:rsid w:val="00165E93"/>
    <w:rsid w:val="00166DAC"/>
    <w:rsid w:val="00167650"/>
    <w:rsid w:val="00167881"/>
    <w:rsid w:val="00170F13"/>
    <w:rsid w:val="00172A27"/>
    <w:rsid w:val="00172BB6"/>
    <w:rsid w:val="001746E6"/>
    <w:rsid w:val="001748E2"/>
    <w:rsid w:val="00177109"/>
    <w:rsid w:val="00177595"/>
    <w:rsid w:val="00180F87"/>
    <w:rsid w:val="001810E7"/>
    <w:rsid w:val="0018137A"/>
    <w:rsid w:val="00181A94"/>
    <w:rsid w:val="00183170"/>
    <w:rsid w:val="00183A64"/>
    <w:rsid w:val="00186B42"/>
    <w:rsid w:val="00187527"/>
    <w:rsid w:val="00187BBB"/>
    <w:rsid w:val="0019065E"/>
    <w:rsid w:val="00190991"/>
    <w:rsid w:val="00190A87"/>
    <w:rsid w:val="00190C0E"/>
    <w:rsid w:val="00192FAA"/>
    <w:rsid w:val="001932BA"/>
    <w:rsid w:val="001944C2"/>
    <w:rsid w:val="00194A03"/>
    <w:rsid w:val="00195082"/>
    <w:rsid w:val="00196033"/>
    <w:rsid w:val="001969E7"/>
    <w:rsid w:val="00196A92"/>
    <w:rsid w:val="00196D39"/>
    <w:rsid w:val="00196EF8"/>
    <w:rsid w:val="00196FAE"/>
    <w:rsid w:val="0019725A"/>
    <w:rsid w:val="001A16A3"/>
    <w:rsid w:val="001A1AB8"/>
    <w:rsid w:val="001A29D1"/>
    <w:rsid w:val="001A3AAD"/>
    <w:rsid w:val="001A4444"/>
    <w:rsid w:val="001A51E0"/>
    <w:rsid w:val="001A59E9"/>
    <w:rsid w:val="001A5C5B"/>
    <w:rsid w:val="001A680B"/>
    <w:rsid w:val="001A6A1B"/>
    <w:rsid w:val="001A725D"/>
    <w:rsid w:val="001B1197"/>
    <w:rsid w:val="001B2194"/>
    <w:rsid w:val="001B41BB"/>
    <w:rsid w:val="001B6829"/>
    <w:rsid w:val="001B71B7"/>
    <w:rsid w:val="001B7DB0"/>
    <w:rsid w:val="001B7F27"/>
    <w:rsid w:val="001C0707"/>
    <w:rsid w:val="001C1267"/>
    <w:rsid w:val="001C16F2"/>
    <w:rsid w:val="001C206E"/>
    <w:rsid w:val="001C2226"/>
    <w:rsid w:val="001C2803"/>
    <w:rsid w:val="001C2DBA"/>
    <w:rsid w:val="001C5361"/>
    <w:rsid w:val="001C5717"/>
    <w:rsid w:val="001C64A3"/>
    <w:rsid w:val="001C7653"/>
    <w:rsid w:val="001C7868"/>
    <w:rsid w:val="001D10C1"/>
    <w:rsid w:val="001D1388"/>
    <w:rsid w:val="001D1C13"/>
    <w:rsid w:val="001D264B"/>
    <w:rsid w:val="001D276C"/>
    <w:rsid w:val="001D34DD"/>
    <w:rsid w:val="001D3602"/>
    <w:rsid w:val="001D3DC1"/>
    <w:rsid w:val="001D61E5"/>
    <w:rsid w:val="001D634D"/>
    <w:rsid w:val="001D6DCF"/>
    <w:rsid w:val="001D7044"/>
    <w:rsid w:val="001D7141"/>
    <w:rsid w:val="001D76C0"/>
    <w:rsid w:val="001D7B1D"/>
    <w:rsid w:val="001E063D"/>
    <w:rsid w:val="001E1E1D"/>
    <w:rsid w:val="001E36DE"/>
    <w:rsid w:val="001E60A7"/>
    <w:rsid w:val="001E7157"/>
    <w:rsid w:val="001E7BDB"/>
    <w:rsid w:val="001F0453"/>
    <w:rsid w:val="001F07A2"/>
    <w:rsid w:val="001F12FB"/>
    <w:rsid w:val="001F4295"/>
    <w:rsid w:val="001F4430"/>
    <w:rsid w:val="001F7789"/>
    <w:rsid w:val="001F7CF4"/>
    <w:rsid w:val="002007E4"/>
    <w:rsid w:val="00203501"/>
    <w:rsid w:val="002037F3"/>
    <w:rsid w:val="00204B68"/>
    <w:rsid w:val="00206179"/>
    <w:rsid w:val="0020674F"/>
    <w:rsid w:val="00206964"/>
    <w:rsid w:val="00207853"/>
    <w:rsid w:val="00212A5E"/>
    <w:rsid w:val="00213202"/>
    <w:rsid w:val="00213B32"/>
    <w:rsid w:val="00214C5A"/>
    <w:rsid w:val="002154DA"/>
    <w:rsid w:val="00215B40"/>
    <w:rsid w:val="00216749"/>
    <w:rsid w:val="00220699"/>
    <w:rsid w:val="00220821"/>
    <w:rsid w:val="00221812"/>
    <w:rsid w:val="00221B02"/>
    <w:rsid w:val="00221D84"/>
    <w:rsid w:val="00222231"/>
    <w:rsid w:val="00222614"/>
    <w:rsid w:val="00222654"/>
    <w:rsid w:val="00222A8B"/>
    <w:rsid w:val="00223BFE"/>
    <w:rsid w:val="00224F24"/>
    <w:rsid w:val="0022533B"/>
    <w:rsid w:val="00225E9A"/>
    <w:rsid w:val="00225ECB"/>
    <w:rsid w:val="0023080B"/>
    <w:rsid w:val="002324DA"/>
    <w:rsid w:val="002325FB"/>
    <w:rsid w:val="002344D7"/>
    <w:rsid w:val="00234981"/>
    <w:rsid w:val="00234FD5"/>
    <w:rsid w:val="0023558D"/>
    <w:rsid w:val="002355F9"/>
    <w:rsid w:val="00235C7F"/>
    <w:rsid w:val="00236563"/>
    <w:rsid w:val="00236F5B"/>
    <w:rsid w:val="0023725B"/>
    <w:rsid w:val="00237EC8"/>
    <w:rsid w:val="00241683"/>
    <w:rsid w:val="00241834"/>
    <w:rsid w:val="00243F89"/>
    <w:rsid w:val="00246147"/>
    <w:rsid w:val="00246D34"/>
    <w:rsid w:val="00250047"/>
    <w:rsid w:val="0025098C"/>
    <w:rsid w:val="0025099B"/>
    <w:rsid w:val="0025235E"/>
    <w:rsid w:val="0025363D"/>
    <w:rsid w:val="002543B3"/>
    <w:rsid w:val="00254786"/>
    <w:rsid w:val="00254D81"/>
    <w:rsid w:val="002551EB"/>
    <w:rsid w:val="00255531"/>
    <w:rsid w:val="002566A5"/>
    <w:rsid w:val="00256BB1"/>
    <w:rsid w:val="0025788E"/>
    <w:rsid w:val="00257C12"/>
    <w:rsid w:val="00257C37"/>
    <w:rsid w:val="002603BB"/>
    <w:rsid w:val="00261045"/>
    <w:rsid w:val="002610CA"/>
    <w:rsid w:val="002622B3"/>
    <w:rsid w:val="002625B0"/>
    <w:rsid w:val="002626D5"/>
    <w:rsid w:val="00262716"/>
    <w:rsid w:val="00262CDA"/>
    <w:rsid w:val="00262D79"/>
    <w:rsid w:val="00262F98"/>
    <w:rsid w:val="002630A4"/>
    <w:rsid w:val="0026402C"/>
    <w:rsid w:val="002643EE"/>
    <w:rsid w:val="00264BA8"/>
    <w:rsid w:val="00265F3D"/>
    <w:rsid w:val="00270C43"/>
    <w:rsid w:val="00270FA4"/>
    <w:rsid w:val="00271427"/>
    <w:rsid w:val="0027269E"/>
    <w:rsid w:val="00272827"/>
    <w:rsid w:val="00273129"/>
    <w:rsid w:val="00273918"/>
    <w:rsid w:val="00274382"/>
    <w:rsid w:val="00274885"/>
    <w:rsid w:val="002772B3"/>
    <w:rsid w:val="002778F7"/>
    <w:rsid w:val="00280E96"/>
    <w:rsid w:val="00281709"/>
    <w:rsid w:val="00283A43"/>
    <w:rsid w:val="00283BEE"/>
    <w:rsid w:val="00283FD7"/>
    <w:rsid w:val="002847AA"/>
    <w:rsid w:val="00284CE6"/>
    <w:rsid w:val="00285515"/>
    <w:rsid w:val="00286619"/>
    <w:rsid w:val="00287F35"/>
    <w:rsid w:val="00290602"/>
    <w:rsid w:val="00290AD3"/>
    <w:rsid w:val="002920C5"/>
    <w:rsid w:val="00293557"/>
    <w:rsid w:val="002955AA"/>
    <w:rsid w:val="002958D2"/>
    <w:rsid w:val="00295C94"/>
    <w:rsid w:val="00296B73"/>
    <w:rsid w:val="00296CCD"/>
    <w:rsid w:val="00297B29"/>
    <w:rsid w:val="002A002F"/>
    <w:rsid w:val="002A007C"/>
    <w:rsid w:val="002A121B"/>
    <w:rsid w:val="002A390B"/>
    <w:rsid w:val="002A4085"/>
    <w:rsid w:val="002A4A5D"/>
    <w:rsid w:val="002A4FD1"/>
    <w:rsid w:val="002A589A"/>
    <w:rsid w:val="002A5ED0"/>
    <w:rsid w:val="002A61CD"/>
    <w:rsid w:val="002A647C"/>
    <w:rsid w:val="002A678A"/>
    <w:rsid w:val="002A7913"/>
    <w:rsid w:val="002A7E3F"/>
    <w:rsid w:val="002B07C0"/>
    <w:rsid w:val="002B15FF"/>
    <w:rsid w:val="002B3104"/>
    <w:rsid w:val="002B33E2"/>
    <w:rsid w:val="002B3BBB"/>
    <w:rsid w:val="002B3C2D"/>
    <w:rsid w:val="002B471C"/>
    <w:rsid w:val="002B49FC"/>
    <w:rsid w:val="002B5023"/>
    <w:rsid w:val="002B52EA"/>
    <w:rsid w:val="002B5B78"/>
    <w:rsid w:val="002B5F78"/>
    <w:rsid w:val="002B7642"/>
    <w:rsid w:val="002C18CD"/>
    <w:rsid w:val="002C19BB"/>
    <w:rsid w:val="002C1B6B"/>
    <w:rsid w:val="002C34D4"/>
    <w:rsid w:val="002C3681"/>
    <w:rsid w:val="002C4C62"/>
    <w:rsid w:val="002C4F8D"/>
    <w:rsid w:val="002C5351"/>
    <w:rsid w:val="002C5FB4"/>
    <w:rsid w:val="002D052C"/>
    <w:rsid w:val="002D14A6"/>
    <w:rsid w:val="002D22FB"/>
    <w:rsid w:val="002D257B"/>
    <w:rsid w:val="002D3BCD"/>
    <w:rsid w:val="002D415C"/>
    <w:rsid w:val="002D4CD3"/>
    <w:rsid w:val="002D55BA"/>
    <w:rsid w:val="002D6F46"/>
    <w:rsid w:val="002D713C"/>
    <w:rsid w:val="002D7607"/>
    <w:rsid w:val="002E1899"/>
    <w:rsid w:val="002E2866"/>
    <w:rsid w:val="002E31A2"/>
    <w:rsid w:val="002E31F3"/>
    <w:rsid w:val="002E38C3"/>
    <w:rsid w:val="002E3B34"/>
    <w:rsid w:val="002E3CD5"/>
    <w:rsid w:val="002E6DE0"/>
    <w:rsid w:val="002F063E"/>
    <w:rsid w:val="002F1144"/>
    <w:rsid w:val="002F172F"/>
    <w:rsid w:val="002F3991"/>
    <w:rsid w:val="002F3FF0"/>
    <w:rsid w:val="002F5370"/>
    <w:rsid w:val="002F7FC7"/>
    <w:rsid w:val="00302826"/>
    <w:rsid w:val="003028C5"/>
    <w:rsid w:val="00302C01"/>
    <w:rsid w:val="0030402C"/>
    <w:rsid w:val="00305245"/>
    <w:rsid w:val="00305B7A"/>
    <w:rsid w:val="00306531"/>
    <w:rsid w:val="00307143"/>
    <w:rsid w:val="00310FAF"/>
    <w:rsid w:val="00315217"/>
    <w:rsid w:val="00315CEF"/>
    <w:rsid w:val="00320D82"/>
    <w:rsid w:val="00321D83"/>
    <w:rsid w:val="00322E63"/>
    <w:rsid w:val="00323DB3"/>
    <w:rsid w:val="00324206"/>
    <w:rsid w:val="00324AA7"/>
    <w:rsid w:val="00325C98"/>
    <w:rsid w:val="00326A90"/>
    <w:rsid w:val="00327709"/>
    <w:rsid w:val="00331106"/>
    <w:rsid w:val="00331744"/>
    <w:rsid w:val="00331792"/>
    <w:rsid w:val="00332E8B"/>
    <w:rsid w:val="003336C7"/>
    <w:rsid w:val="00335EBA"/>
    <w:rsid w:val="003369A8"/>
    <w:rsid w:val="00337907"/>
    <w:rsid w:val="00340710"/>
    <w:rsid w:val="0034203B"/>
    <w:rsid w:val="00342EA8"/>
    <w:rsid w:val="00342F23"/>
    <w:rsid w:val="00343385"/>
    <w:rsid w:val="0034470D"/>
    <w:rsid w:val="00344D3E"/>
    <w:rsid w:val="00344E1A"/>
    <w:rsid w:val="00345104"/>
    <w:rsid w:val="00350D41"/>
    <w:rsid w:val="00350F1C"/>
    <w:rsid w:val="0035123B"/>
    <w:rsid w:val="00352E92"/>
    <w:rsid w:val="00353CF5"/>
    <w:rsid w:val="003552FC"/>
    <w:rsid w:val="00355A2F"/>
    <w:rsid w:val="003562F6"/>
    <w:rsid w:val="00356E50"/>
    <w:rsid w:val="00357337"/>
    <w:rsid w:val="00360047"/>
    <w:rsid w:val="0036027F"/>
    <w:rsid w:val="00360569"/>
    <w:rsid w:val="00360FDA"/>
    <w:rsid w:val="00362888"/>
    <w:rsid w:val="00362E80"/>
    <w:rsid w:val="003632D2"/>
    <w:rsid w:val="00364C48"/>
    <w:rsid w:val="00365112"/>
    <w:rsid w:val="0036530B"/>
    <w:rsid w:val="003656EE"/>
    <w:rsid w:val="00365C98"/>
    <w:rsid w:val="0036669F"/>
    <w:rsid w:val="003672C1"/>
    <w:rsid w:val="00367C3B"/>
    <w:rsid w:val="00371244"/>
    <w:rsid w:val="00374941"/>
    <w:rsid w:val="00375F69"/>
    <w:rsid w:val="00376B77"/>
    <w:rsid w:val="00377181"/>
    <w:rsid w:val="00377186"/>
    <w:rsid w:val="003775FE"/>
    <w:rsid w:val="003802FC"/>
    <w:rsid w:val="00380F2D"/>
    <w:rsid w:val="0038129F"/>
    <w:rsid w:val="00381812"/>
    <w:rsid w:val="00382035"/>
    <w:rsid w:val="00382C1C"/>
    <w:rsid w:val="0038330E"/>
    <w:rsid w:val="00384BFA"/>
    <w:rsid w:val="00384D03"/>
    <w:rsid w:val="00385268"/>
    <w:rsid w:val="00387C98"/>
    <w:rsid w:val="00397091"/>
    <w:rsid w:val="00397A90"/>
    <w:rsid w:val="00397E89"/>
    <w:rsid w:val="003A062E"/>
    <w:rsid w:val="003A07BE"/>
    <w:rsid w:val="003A0EE2"/>
    <w:rsid w:val="003A1680"/>
    <w:rsid w:val="003A1DDD"/>
    <w:rsid w:val="003A2356"/>
    <w:rsid w:val="003A2E73"/>
    <w:rsid w:val="003A31AE"/>
    <w:rsid w:val="003A36E1"/>
    <w:rsid w:val="003A4A20"/>
    <w:rsid w:val="003A4A7E"/>
    <w:rsid w:val="003A532E"/>
    <w:rsid w:val="003A6A33"/>
    <w:rsid w:val="003A6CF4"/>
    <w:rsid w:val="003A7166"/>
    <w:rsid w:val="003B2322"/>
    <w:rsid w:val="003B39E4"/>
    <w:rsid w:val="003B44FB"/>
    <w:rsid w:val="003C0D65"/>
    <w:rsid w:val="003C1A42"/>
    <w:rsid w:val="003C33B8"/>
    <w:rsid w:val="003C3FFE"/>
    <w:rsid w:val="003C440F"/>
    <w:rsid w:val="003C60FB"/>
    <w:rsid w:val="003C6142"/>
    <w:rsid w:val="003C7040"/>
    <w:rsid w:val="003C78FD"/>
    <w:rsid w:val="003D04B7"/>
    <w:rsid w:val="003D1484"/>
    <w:rsid w:val="003D154E"/>
    <w:rsid w:val="003D3374"/>
    <w:rsid w:val="003D40F3"/>
    <w:rsid w:val="003D43B4"/>
    <w:rsid w:val="003D6D1E"/>
    <w:rsid w:val="003E0300"/>
    <w:rsid w:val="003E088C"/>
    <w:rsid w:val="003E2EFE"/>
    <w:rsid w:val="003E39D1"/>
    <w:rsid w:val="003E3DC1"/>
    <w:rsid w:val="003E5647"/>
    <w:rsid w:val="003E571E"/>
    <w:rsid w:val="003E5B05"/>
    <w:rsid w:val="003E6919"/>
    <w:rsid w:val="003E6E1D"/>
    <w:rsid w:val="003E7822"/>
    <w:rsid w:val="003F036D"/>
    <w:rsid w:val="003F1085"/>
    <w:rsid w:val="003F143E"/>
    <w:rsid w:val="003F3F9F"/>
    <w:rsid w:val="003F48FE"/>
    <w:rsid w:val="003F4C58"/>
    <w:rsid w:val="003F6992"/>
    <w:rsid w:val="003F73CE"/>
    <w:rsid w:val="003F7A18"/>
    <w:rsid w:val="00400357"/>
    <w:rsid w:val="00400593"/>
    <w:rsid w:val="00400CF1"/>
    <w:rsid w:val="0040237C"/>
    <w:rsid w:val="00402629"/>
    <w:rsid w:val="004027B9"/>
    <w:rsid w:val="00402D54"/>
    <w:rsid w:val="00403E96"/>
    <w:rsid w:val="004058C9"/>
    <w:rsid w:val="00406018"/>
    <w:rsid w:val="00406D2D"/>
    <w:rsid w:val="00410851"/>
    <w:rsid w:val="004110CB"/>
    <w:rsid w:val="00411E9D"/>
    <w:rsid w:val="00412724"/>
    <w:rsid w:val="00413336"/>
    <w:rsid w:val="00414391"/>
    <w:rsid w:val="00416DB6"/>
    <w:rsid w:val="00417746"/>
    <w:rsid w:val="00417F33"/>
    <w:rsid w:val="00420D64"/>
    <w:rsid w:val="0042127F"/>
    <w:rsid w:val="0042217D"/>
    <w:rsid w:val="004222A6"/>
    <w:rsid w:val="00422E0C"/>
    <w:rsid w:val="0042358A"/>
    <w:rsid w:val="00425463"/>
    <w:rsid w:val="004257F0"/>
    <w:rsid w:val="004259E5"/>
    <w:rsid w:val="00425C1B"/>
    <w:rsid w:val="00427633"/>
    <w:rsid w:val="00427CAB"/>
    <w:rsid w:val="0043039F"/>
    <w:rsid w:val="00432FF7"/>
    <w:rsid w:val="0043345A"/>
    <w:rsid w:val="00433F43"/>
    <w:rsid w:val="0043466F"/>
    <w:rsid w:val="00435950"/>
    <w:rsid w:val="00436401"/>
    <w:rsid w:val="00436C1F"/>
    <w:rsid w:val="00436D9B"/>
    <w:rsid w:val="004372F1"/>
    <w:rsid w:val="00437E0B"/>
    <w:rsid w:val="0044050F"/>
    <w:rsid w:val="004426DD"/>
    <w:rsid w:val="00442D2F"/>
    <w:rsid w:val="00442EA1"/>
    <w:rsid w:val="00443AF9"/>
    <w:rsid w:val="0044483C"/>
    <w:rsid w:val="004448B7"/>
    <w:rsid w:val="0044707C"/>
    <w:rsid w:val="004472D8"/>
    <w:rsid w:val="004504A0"/>
    <w:rsid w:val="00451695"/>
    <w:rsid w:val="004518FD"/>
    <w:rsid w:val="004523CB"/>
    <w:rsid w:val="0045284B"/>
    <w:rsid w:val="00452F8D"/>
    <w:rsid w:val="00454124"/>
    <w:rsid w:val="0045421F"/>
    <w:rsid w:val="004543CA"/>
    <w:rsid w:val="0045459B"/>
    <w:rsid w:val="004552C7"/>
    <w:rsid w:val="004564FF"/>
    <w:rsid w:val="004571FD"/>
    <w:rsid w:val="0045783B"/>
    <w:rsid w:val="00457FBC"/>
    <w:rsid w:val="00461368"/>
    <w:rsid w:val="004622A3"/>
    <w:rsid w:val="004658E3"/>
    <w:rsid w:val="0046646A"/>
    <w:rsid w:val="004665E7"/>
    <w:rsid w:val="00467410"/>
    <w:rsid w:val="00467656"/>
    <w:rsid w:val="00467E82"/>
    <w:rsid w:val="00470BFB"/>
    <w:rsid w:val="00470C26"/>
    <w:rsid w:val="0047187A"/>
    <w:rsid w:val="00471AC6"/>
    <w:rsid w:val="00474154"/>
    <w:rsid w:val="004745C9"/>
    <w:rsid w:val="004755D9"/>
    <w:rsid w:val="00475E1D"/>
    <w:rsid w:val="00476389"/>
    <w:rsid w:val="00477235"/>
    <w:rsid w:val="00477336"/>
    <w:rsid w:val="0048047C"/>
    <w:rsid w:val="00480658"/>
    <w:rsid w:val="004816C6"/>
    <w:rsid w:val="00481903"/>
    <w:rsid w:val="004819DE"/>
    <w:rsid w:val="00481CD1"/>
    <w:rsid w:val="00481EE2"/>
    <w:rsid w:val="0048514E"/>
    <w:rsid w:val="00485590"/>
    <w:rsid w:val="00487AD5"/>
    <w:rsid w:val="00490B5D"/>
    <w:rsid w:val="00490D46"/>
    <w:rsid w:val="00490DF5"/>
    <w:rsid w:val="004929C7"/>
    <w:rsid w:val="00492E18"/>
    <w:rsid w:val="00495248"/>
    <w:rsid w:val="00495FAC"/>
    <w:rsid w:val="00496896"/>
    <w:rsid w:val="004A127D"/>
    <w:rsid w:val="004A4586"/>
    <w:rsid w:val="004A4D53"/>
    <w:rsid w:val="004A7168"/>
    <w:rsid w:val="004A742B"/>
    <w:rsid w:val="004A7436"/>
    <w:rsid w:val="004B1FD2"/>
    <w:rsid w:val="004B22B4"/>
    <w:rsid w:val="004B27ED"/>
    <w:rsid w:val="004B3D04"/>
    <w:rsid w:val="004B54C6"/>
    <w:rsid w:val="004B602A"/>
    <w:rsid w:val="004B6255"/>
    <w:rsid w:val="004B655E"/>
    <w:rsid w:val="004B7FA0"/>
    <w:rsid w:val="004C0CE5"/>
    <w:rsid w:val="004C16FF"/>
    <w:rsid w:val="004C1963"/>
    <w:rsid w:val="004C3040"/>
    <w:rsid w:val="004C55CA"/>
    <w:rsid w:val="004C55DA"/>
    <w:rsid w:val="004C5B8B"/>
    <w:rsid w:val="004C6273"/>
    <w:rsid w:val="004C6691"/>
    <w:rsid w:val="004C7D8A"/>
    <w:rsid w:val="004D10D7"/>
    <w:rsid w:val="004D16FB"/>
    <w:rsid w:val="004D2082"/>
    <w:rsid w:val="004D2325"/>
    <w:rsid w:val="004D2553"/>
    <w:rsid w:val="004D296F"/>
    <w:rsid w:val="004D2D39"/>
    <w:rsid w:val="004D31BB"/>
    <w:rsid w:val="004D3638"/>
    <w:rsid w:val="004D6788"/>
    <w:rsid w:val="004D6B5F"/>
    <w:rsid w:val="004D6C2E"/>
    <w:rsid w:val="004D74A0"/>
    <w:rsid w:val="004D7C53"/>
    <w:rsid w:val="004D7E42"/>
    <w:rsid w:val="004E1530"/>
    <w:rsid w:val="004E31D3"/>
    <w:rsid w:val="004E3DDB"/>
    <w:rsid w:val="004E4A57"/>
    <w:rsid w:val="004E4C16"/>
    <w:rsid w:val="004E54E8"/>
    <w:rsid w:val="004F0E48"/>
    <w:rsid w:val="004F2457"/>
    <w:rsid w:val="004F24F2"/>
    <w:rsid w:val="004F4910"/>
    <w:rsid w:val="004F4AD0"/>
    <w:rsid w:val="004F4E0B"/>
    <w:rsid w:val="004F500D"/>
    <w:rsid w:val="004F57C3"/>
    <w:rsid w:val="004F6828"/>
    <w:rsid w:val="00500031"/>
    <w:rsid w:val="00500665"/>
    <w:rsid w:val="005026B8"/>
    <w:rsid w:val="0050276D"/>
    <w:rsid w:val="005029BF"/>
    <w:rsid w:val="00503B8B"/>
    <w:rsid w:val="00503FE6"/>
    <w:rsid w:val="00504C41"/>
    <w:rsid w:val="0050515A"/>
    <w:rsid w:val="0050528E"/>
    <w:rsid w:val="0050767A"/>
    <w:rsid w:val="00511BA0"/>
    <w:rsid w:val="005120D4"/>
    <w:rsid w:val="00514113"/>
    <w:rsid w:val="00514DBE"/>
    <w:rsid w:val="00514FA1"/>
    <w:rsid w:val="00515208"/>
    <w:rsid w:val="005160E6"/>
    <w:rsid w:val="005167BA"/>
    <w:rsid w:val="00516A92"/>
    <w:rsid w:val="00516E46"/>
    <w:rsid w:val="00517CCC"/>
    <w:rsid w:val="005205E6"/>
    <w:rsid w:val="00520F1E"/>
    <w:rsid w:val="005213CC"/>
    <w:rsid w:val="0052229B"/>
    <w:rsid w:val="00523CCB"/>
    <w:rsid w:val="00524E56"/>
    <w:rsid w:val="0052509E"/>
    <w:rsid w:val="00525174"/>
    <w:rsid w:val="00525B14"/>
    <w:rsid w:val="005268CD"/>
    <w:rsid w:val="00527682"/>
    <w:rsid w:val="00530160"/>
    <w:rsid w:val="00530466"/>
    <w:rsid w:val="005310F4"/>
    <w:rsid w:val="00531EE1"/>
    <w:rsid w:val="00532129"/>
    <w:rsid w:val="005326B7"/>
    <w:rsid w:val="00532762"/>
    <w:rsid w:val="0053279B"/>
    <w:rsid w:val="0053313A"/>
    <w:rsid w:val="005335F4"/>
    <w:rsid w:val="00533F21"/>
    <w:rsid w:val="005340D9"/>
    <w:rsid w:val="0053598B"/>
    <w:rsid w:val="00535E52"/>
    <w:rsid w:val="00536A3D"/>
    <w:rsid w:val="0053759E"/>
    <w:rsid w:val="00537DED"/>
    <w:rsid w:val="005404DF"/>
    <w:rsid w:val="00540848"/>
    <w:rsid w:val="005418C1"/>
    <w:rsid w:val="00542692"/>
    <w:rsid w:val="00542D0B"/>
    <w:rsid w:val="00543F2F"/>
    <w:rsid w:val="00544C33"/>
    <w:rsid w:val="0054504F"/>
    <w:rsid w:val="00546395"/>
    <w:rsid w:val="005471FF"/>
    <w:rsid w:val="005512E3"/>
    <w:rsid w:val="005534D3"/>
    <w:rsid w:val="0055351E"/>
    <w:rsid w:val="005536B1"/>
    <w:rsid w:val="005537C9"/>
    <w:rsid w:val="00555EA1"/>
    <w:rsid w:val="00555EB5"/>
    <w:rsid w:val="00556413"/>
    <w:rsid w:val="00556C63"/>
    <w:rsid w:val="0055702A"/>
    <w:rsid w:val="00557278"/>
    <w:rsid w:val="00560719"/>
    <w:rsid w:val="00560E28"/>
    <w:rsid w:val="00561D43"/>
    <w:rsid w:val="00561FAA"/>
    <w:rsid w:val="0056433E"/>
    <w:rsid w:val="00564F4F"/>
    <w:rsid w:val="005653EA"/>
    <w:rsid w:val="00567493"/>
    <w:rsid w:val="00567A62"/>
    <w:rsid w:val="0057002A"/>
    <w:rsid w:val="00570B56"/>
    <w:rsid w:val="005711D8"/>
    <w:rsid w:val="00572DD6"/>
    <w:rsid w:val="00573EDE"/>
    <w:rsid w:val="005757BA"/>
    <w:rsid w:val="00576DC0"/>
    <w:rsid w:val="00577B6A"/>
    <w:rsid w:val="00577DFF"/>
    <w:rsid w:val="0058019F"/>
    <w:rsid w:val="005804CB"/>
    <w:rsid w:val="0058054B"/>
    <w:rsid w:val="00581F3F"/>
    <w:rsid w:val="00582368"/>
    <w:rsid w:val="00582FB9"/>
    <w:rsid w:val="0058340B"/>
    <w:rsid w:val="00585272"/>
    <w:rsid w:val="005877F7"/>
    <w:rsid w:val="00590800"/>
    <w:rsid w:val="00592661"/>
    <w:rsid w:val="00593835"/>
    <w:rsid w:val="005944D1"/>
    <w:rsid w:val="005957F8"/>
    <w:rsid w:val="005959A9"/>
    <w:rsid w:val="005964D2"/>
    <w:rsid w:val="00597072"/>
    <w:rsid w:val="005A1606"/>
    <w:rsid w:val="005A1A6D"/>
    <w:rsid w:val="005A1E0C"/>
    <w:rsid w:val="005A268C"/>
    <w:rsid w:val="005A29D6"/>
    <w:rsid w:val="005A36D9"/>
    <w:rsid w:val="005A48B0"/>
    <w:rsid w:val="005A61B8"/>
    <w:rsid w:val="005A7CFB"/>
    <w:rsid w:val="005A7DCD"/>
    <w:rsid w:val="005B0492"/>
    <w:rsid w:val="005B0F0A"/>
    <w:rsid w:val="005B0FDE"/>
    <w:rsid w:val="005B1836"/>
    <w:rsid w:val="005B2162"/>
    <w:rsid w:val="005B22B2"/>
    <w:rsid w:val="005B26B3"/>
    <w:rsid w:val="005B3057"/>
    <w:rsid w:val="005B317C"/>
    <w:rsid w:val="005B3960"/>
    <w:rsid w:val="005B39FB"/>
    <w:rsid w:val="005B3AAB"/>
    <w:rsid w:val="005B5824"/>
    <w:rsid w:val="005B5CDF"/>
    <w:rsid w:val="005B7099"/>
    <w:rsid w:val="005C0939"/>
    <w:rsid w:val="005C0ADB"/>
    <w:rsid w:val="005C1528"/>
    <w:rsid w:val="005C2340"/>
    <w:rsid w:val="005C2D28"/>
    <w:rsid w:val="005C74B1"/>
    <w:rsid w:val="005D10C2"/>
    <w:rsid w:val="005D1A6F"/>
    <w:rsid w:val="005D3826"/>
    <w:rsid w:val="005D3BFB"/>
    <w:rsid w:val="005D41E0"/>
    <w:rsid w:val="005D5269"/>
    <w:rsid w:val="005D52EB"/>
    <w:rsid w:val="005D537D"/>
    <w:rsid w:val="005D54CF"/>
    <w:rsid w:val="005D665E"/>
    <w:rsid w:val="005D7266"/>
    <w:rsid w:val="005D7DB3"/>
    <w:rsid w:val="005E090C"/>
    <w:rsid w:val="005E542B"/>
    <w:rsid w:val="005E65D3"/>
    <w:rsid w:val="005E75FE"/>
    <w:rsid w:val="005F04DD"/>
    <w:rsid w:val="005F0AE8"/>
    <w:rsid w:val="005F1255"/>
    <w:rsid w:val="005F3E4C"/>
    <w:rsid w:val="005F47E3"/>
    <w:rsid w:val="005F4DCB"/>
    <w:rsid w:val="005F5E47"/>
    <w:rsid w:val="00600B75"/>
    <w:rsid w:val="0060366C"/>
    <w:rsid w:val="00603E71"/>
    <w:rsid w:val="006073F1"/>
    <w:rsid w:val="00607F68"/>
    <w:rsid w:val="00610299"/>
    <w:rsid w:val="006107FF"/>
    <w:rsid w:val="00613F8F"/>
    <w:rsid w:val="00616666"/>
    <w:rsid w:val="006174AE"/>
    <w:rsid w:val="0061793A"/>
    <w:rsid w:val="00620B22"/>
    <w:rsid w:val="00621D50"/>
    <w:rsid w:val="006228CB"/>
    <w:rsid w:val="0062412C"/>
    <w:rsid w:val="00624760"/>
    <w:rsid w:val="00624804"/>
    <w:rsid w:val="00624EB4"/>
    <w:rsid w:val="006254CB"/>
    <w:rsid w:val="006270CA"/>
    <w:rsid w:val="00627771"/>
    <w:rsid w:val="0063060D"/>
    <w:rsid w:val="006308FE"/>
    <w:rsid w:val="006314D5"/>
    <w:rsid w:val="00632F05"/>
    <w:rsid w:val="006333C1"/>
    <w:rsid w:val="0063387A"/>
    <w:rsid w:val="00634DEA"/>
    <w:rsid w:val="00637F44"/>
    <w:rsid w:val="00637FA0"/>
    <w:rsid w:val="00640D27"/>
    <w:rsid w:val="0064141E"/>
    <w:rsid w:val="00641C8C"/>
    <w:rsid w:val="006429AA"/>
    <w:rsid w:val="0064437B"/>
    <w:rsid w:val="0064494B"/>
    <w:rsid w:val="006471AF"/>
    <w:rsid w:val="00647662"/>
    <w:rsid w:val="00651E39"/>
    <w:rsid w:val="006522A3"/>
    <w:rsid w:val="00654681"/>
    <w:rsid w:val="00654D3A"/>
    <w:rsid w:val="00655248"/>
    <w:rsid w:val="00655CF5"/>
    <w:rsid w:val="006567A9"/>
    <w:rsid w:val="00656B80"/>
    <w:rsid w:val="00657092"/>
    <w:rsid w:val="0066086B"/>
    <w:rsid w:val="00663FA2"/>
    <w:rsid w:val="0066692C"/>
    <w:rsid w:val="00667B17"/>
    <w:rsid w:val="00671C7A"/>
    <w:rsid w:val="0067567F"/>
    <w:rsid w:val="0067596F"/>
    <w:rsid w:val="00675FAB"/>
    <w:rsid w:val="006765FD"/>
    <w:rsid w:val="0067745F"/>
    <w:rsid w:val="00682493"/>
    <w:rsid w:val="00682859"/>
    <w:rsid w:val="00682B23"/>
    <w:rsid w:val="00682CA5"/>
    <w:rsid w:val="00683876"/>
    <w:rsid w:val="00683F95"/>
    <w:rsid w:val="0068448C"/>
    <w:rsid w:val="0068668F"/>
    <w:rsid w:val="00691680"/>
    <w:rsid w:val="00692D0F"/>
    <w:rsid w:val="00695385"/>
    <w:rsid w:val="00695530"/>
    <w:rsid w:val="006962FE"/>
    <w:rsid w:val="00697B85"/>
    <w:rsid w:val="006A0D44"/>
    <w:rsid w:val="006A1397"/>
    <w:rsid w:val="006A3096"/>
    <w:rsid w:val="006A393F"/>
    <w:rsid w:val="006A3A93"/>
    <w:rsid w:val="006A515D"/>
    <w:rsid w:val="006A53AE"/>
    <w:rsid w:val="006A585B"/>
    <w:rsid w:val="006A6F47"/>
    <w:rsid w:val="006A7149"/>
    <w:rsid w:val="006A78AE"/>
    <w:rsid w:val="006A7DBF"/>
    <w:rsid w:val="006A7FE6"/>
    <w:rsid w:val="006B187A"/>
    <w:rsid w:val="006B29FC"/>
    <w:rsid w:val="006B2F40"/>
    <w:rsid w:val="006B326A"/>
    <w:rsid w:val="006B3FF7"/>
    <w:rsid w:val="006B5201"/>
    <w:rsid w:val="006B5710"/>
    <w:rsid w:val="006B6CFB"/>
    <w:rsid w:val="006B76F9"/>
    <w:rsid w:val="006B7BDC"/>
    <w:rsid w:val="006C071E"/>
    <w:rsid w:val="006C10FB"/>
    <w:rsid w:val="006C1BAC"/>
    <w:rsid w:val="006C296E"/>
    <w:rsid w:val="006C2E20"/>
    <w:rsid w:val="006C3501"/>
    <w:rsid w:val="006C495D"/>
    <w:rsid w:val="006D01A6"/>
    <w:rsid w:val="006D04F7"/>
    <w:rsid w:val="006D0D87"/>
    <w:rsid w:val="006D0E3C"/>
    <w:rsid w:val="006D22CD"/>
    <w:rsid w:val="006D365B"/>
    <w:rsid w:val="006D3C09"/>
    <w:rsid w:val="006D70DF"/>
    <w:rsid w:val="006D7345"/>
    <w:rsid w:val="006D78DB"/>
    <w:rsid w:val="006D7FF4"/>
    <w:rsid w:val="006E27C0"/>
    <w:rsid w:val="006E569B"/>
    <w:rsid w:val="006E5788"/>
    <w:rsid w:val="006E6A13"/>
    <w:rsid w:val="006E6C36"/>
    <w:rsid w:val="006E73A6"/>
    <w:rsid w:val="006F0294"/>
    <w:rsid w:val="006F05AD"/>
    <w:rsid w:val="006F0BA6"/>
    <w:rsid w:val="006F12DB"/>
    <w:rsid w:val="006F1452"/>
    <w:rsid w:val="006F2749"/>
    <w:rsid w:val="006F383A"/>
    <w:rsid w:val="006F42DA"/>
    <w:rsid w:val="006F6584"/>
    <w:rsid w:val="00701A67"/>
    <w:rsid w:val="00702068"/>
    <w:rsid w:val="00703AB0"/>
    <w:rsid w:val="00703D11"/>
    <w:rsid w:val="00705476"/>
    <w:rsid w:val="0070605D"/>
    <w:rsid w:val="007065D8"/>
    <w:rsid w:val="00710610"/>
    <w:rsid w:val="0071075D"/>
    <w:rsid w:val="00710FA0"/>
    <w:rsid w:val="007112FC"/>
    <w:rsid w:val="00711C7C"/>
    <w:rsid w:val="00713923"/>
    <w:rsid w:val="00714131"/>
    <w:rsid w:val="00714B84"/>
    <w:rsid w:val="007162E1"/>
    <w:rsid w:val="00717390"/>
    <w:rsid w:val="007212D9"/>
    <w:rsid w:val="00721D8E"/>
    <w:rsid w:val="0072203B"/>
    <w:rsid w:val="007230A8"/>
    <w:rsid w:val="00723143"/>
    <w:rsid w:val="007236CC"/>
    <w:rsid w:val="00725B42"/>
    <w:rsid w:val="0072637A"/>
    <w:rsid w:val="007278DF"/>
    <w:rsid w:val="00727A77"/>
    <w:rsid w:val="00727D14"/>
    <w:rsid w:val="0073023D"/>
    <w:rsid w:val="0073034E"/>
    <w:rsid w:val="007303A0"/>
    <w:rsid w:val="00731B55"/>
    <w:rsid w:val="00732D08"/>
    <w:rsid w:val="00732D38"/>
    <w:rsid w:val="00732ED0"/>
    <w:rsid w:val="007336A6"/>
    <w:rsid w:val="00736EAF"/>
    <w:rsid w:val="007375A3"/>
    <w:rsid w:val="00737C9D"/>
    <w:rsid w:val="00740223"/>
    <w:rsid w:val="00740CE0"/>
    <w:rsid w:val="00742476"/>
    <w:rsid w:val="007425C2"/>
    <w:rsid w:val="00742F6D"/>
    <w:rsid w:val="00742FCF"/>
    <w:rsid w:val="00743404"/>
    <w:rsid w:val="0074380E"/>
    <w:rsid w:val="00743DE0"/>
    <w:rsid w:val="0074410E"/>
    <w:rsid w:val="00744544"/>
    <w:rsid w:val="00745316"/>
    <w:rsid w:val="00745DD4"/>
    <w:rsid w:val="00745E28"/>
    <w:rsid w:val="007466B4"/>
    <w:rsid w:val="00747336"/>
    <w:rsid w:val="00747E79"/>
    <w:rsid w:val="0075145E"/>
    <w:rsid w:val="00751463"/>
    <w:rsid w:val="007521BA"/>
    <w:rsid w:val="007541BE"/>
    <w:rsid w:val="007541E0"/>
    <w:rsid w:val="007547B2"/>
    <w:rsid w:val="00754D0B"/>
    <w:rsid w:val="00755129"/>
    <w:rsid w:val="007560FE"/>
    <w:rsid w:val="00761888"/>
    <w:rsid w:val="00761A0C"/>
    <w:rsid w:val="00763480"/>
    <w:rsid w:val="00765FB8"/>
    <w:rsid w:val="007662EF"/>
    <w:rsid w:val="00766728"/>
    <w:rsid w:val="00772675"/>
    <w:rsid w:val="00773408"/>
    <w:rsid w:val="00774F37"/>
    <w:rsid w:val="00775493"/>
    <w:rsid w:val="00775B77"/>
    <w:rsid w:val="00775DE9"/>
    <w:rsid w:val="0077741B"/>
    <w:rsid w:val="0078072E"/>
    <w:rsid w:val="007822AD"/>
    <w:rsid w:val="00782CF3"/>
    <w:rsid w:val="00783087"/>
    <w:rsid w:val="0078313F"/>
    <w:rsid w:val="007832C0"/>
    <w:rsid w:val="00783C93"/>
    <w:rsid w:val="00784393"/>
    <w:rsid w:val="00785247"/>
    <w:rsid w:val="007853CC"/>
    <w:rsid w:val="007901C2"/>
    <w:rsid w:val="007901C9"/>
    <w:rsid w:val="00790890"/>
    <w:rsid w:val="007910FB"/>
    <w:rsid w:val="007919CC"/>
    <w:rsid w:val="00792595"/>
    <w:rsid w:val="00795906"/>
    <w:rsid w:val="007965E4"/>
    <w:rsid w:val="0079766C"/>
    <w:rsid w:val="007A051D"/>
    <w:rsid w:val="007A1AFD"/>
    <w:rsid w:val="007A4551"/>
    <w:rsid w:val="007A45B4"/>
    <w:rsid w:val="007A4D38"/>
    <w:rsid w:val="007A4EF2"/>
    <w:rsid w:val="007A5189"/>
    <w:rsid w:val="007A6189"/>
    <w:rsid w:val="007A6388"/>
    <w:rsid w:val="007A6E98"/>
    <w:rsid w:val="007A7348"/>
    <w:rsid w:val="007A77CB"/>
    <w:rsid w:val="007B0079"/>
    <w:rsid w:val="007B00F4"/>
    <w:rsid w:val="007B0DBA"/>
    <w:rsid w:val="007B1E41"/>
    <w:rsid w:val="007B2285"/>
    <w:rsid w:val="007B38D5"/>
    <w:rsid w:val="007B5AF9"/>
    <w:rsid w:val="007B6291"/>
    <w:rsid w:val="007B654C"/>
    <w:rsid w:val="007B71F0"/>
    <w:rsid w:val="007B7674"/>
    <w:rsid w:val="007C003B"/>
    <w:rsid w:val="007C0E88"/>
    <w:rsid w:val="007C118B"/>
    <w:rsid w:val="007C1378"/>
    <w:rsid w:val="007C2953"/>
    <w:rsid w:val="007C439A"/>
    <w:rsid w:val="007C4B36"/>
    <w:rsid w:val="007C4D60"/>
    <w:rsid w:val="007C53C3"/>
    <w:rsid w:val="007D0A6A"/>
    <w:rsid w:val="007D0D7C"/>
    <w:rsid w:val="007D13B8"/>
    <w:rsid w:val="007D19FB"/>
    <w:rsid w:val="007D1CDF"/>
    <w:rsid w:val="007D2693"/>
    <w:rsid w:val="007D3D98"/>
    <w:rsid w:val="007D3E2B"/>
    <w:rsid w:val="007D5C27"/>
    <w:rsid w:val="007E0B68"/>
    <w:rsid w:val="007E0F92"/>
    <w:rsid w:val="007E2724"/>
    <w:rsid w:val="007E3A84"/>
    <w:rsid w:val="007E5166"/>
    <w:rsid w:val="007E54E9"/>
    <w:rsid w:val="007E5E39"/>
    <w:rsid w:val="007E6625"/>
    <w:rsid w:val="007E70E4"/>
    <w:rsid w:val="007E7FC9"/>
    <w:rsid w:val="007F0336"/>
    <w:rsid w:val="007F2873"/>
    <w:rsid w:val="007F325B"/>
    <w:rsid w:val="007F36A3"/>
    <w:rsid w:val="007F389F"/>
    <w:rsid w:val="007F4335"/>
    <w:rsid w:val="007F53BF"/>
    <w:rsid w:val="007F6764"/>
    <w:rsid w:val="008008D1"/>
    <w:rsid w:val="00801273"/>
    <w:rsid w:val="00801537"/>
    <w:rsid w:val="008027D6"/>
    <w:rsid w:val="008035AC"/>
    <w:rsid w:val="008048DE"/>
    <w:rsid w:val="00807C86"/>
    <w:rsid w:val="00807E20"/>
    <w:rsid w:val="00810F6A"/>
    <w:rsid w:val="0081113F"/>
    <w:rsid w:val="008119AF"/>
    <w:rsid w:val="00814F4C"/>
    <w:rsid w:val="00815072"/>
    <w:rsid w:val="0081538B"/>
    <w:rsid w:val="00816338"/>
    <w:rsid w:val="00821777"/>
    <w:rsid w:val="008222DD"/>
    <w:rsid w:val="00822B2A"/>
    <w:rsid w:val="00822BBC"/>
    <w:rsid w:val="008261A6"/>
    <w:rsid w:val="008265B9"/>
    <w:rsid w:val="00830066"/>
    <w:rsid w:val="0083033F"/>
    <w:rsid w:val="008308A1"/>
    <w:rsid w:val="00830D0C"/>
    <w:rsid w:val="008310CE"/>
    <w:rsid w:val="00832AC3"/>
    <w:rsid w:val="0083386A"/>
    <w:rsid w:val="00834CC0"/>
    <w:rsid w:val="0083581F"/>
    <w:rsid w:val="0083726F"/>
    <w:rsid w:val="0083780B"/>
    <w:rsid w:val="00837C51"/>
    <w:rsid w:val="00840720"/>
    <w:rsid w:val="00841804"/>
    <w:rsid w:val="0084225F"/>
    <w:rsid w:val="00842A6A"/>
    <w:rsid w:val="008454E6"/>
    <w:rsid w:val="00845D52"/>
    <w:rsid w:val="008502FC"/>
    <w:rsid w:val="00850767"/>
    <w:rsid w:val="008521AA"/>
    <w:rsid w:val="0085220B"/>
    <w:rsid w:val="00852FEC"/>
    <w:rsid w:val="00853258"/>
    <w:rsid w:val="00853917"/>
    <w:rsid w:val="00853BA4"/>
    <w:rsid w:val="0085453A"/>
    <w:rsid w:val="008548C7"/>
    <w:rsid w:val="00855766"/>
    <w:rsid w:val="00856A27"/>
    <w:rsid w:val="00856A50"/>
    <w:rsid w:val="0086045C"/>
    <w:rsid w:val="00862EEC"/>
    <w:rsid w:val="0086342A"/>
    <w:rsid w:val="0086343B"/>
    <w:rsid w:val="008638E3"/>
    <w:rsid w:val="008640D9"/>
    <w:rsid w:val="0086580E"/>
    <w:rsid w:val="00865A57"/>
    <w:rsid w:val="00870431"/>
    <w:rsid w:val="008709E8"/>
    <w:rsid w:val="0087324B"/>
    <w:rsid w:val="008738FE"/>
    <w:rsid w:val="00873EED"/>
    <w:rsid w:val="0087502E"/>
    <w:rsid w:val="0087520C"/>
    <w:rsid w:val="00875433"/>
    <w:rsid w:val="00875CD6"/>
    <w:rsid w:val="00876FAB"/>
    <w:rsid w:val="008778E0"/>
    <w:rsid w:val="00880F9D"/>
    <w:rsid w:val="00881AF5"/>
    <w:rsid w:val="00881B38"/>
    <w:rsid w:val="00881C68"/>
    <w:rsid w:val="00882768"/>
    <w:rsid w:val="00883067"/>
    <w:rsid w:val="008901EF"/>
    <w:rsid w:val="0089212B"/>
    <w:rsid w:val="00892E46"/>
    <w:rsid w:val="00892FD5"/>
    <w:rsid w:val="008947AC"/>
    <w:rsid w:val="0089696A"/>
    <w:rsid w:val="00896B7C"/>
    <w:rsid w:val="00897397"/>
    <w:rsid w:val="008A000A"/>
    <w:rsid w:val="008A0072"/>
    <w:rsid w:val="008A031A"/>
    <w:rsid w:val="008A211A"/>
    <w:rsid w:val="008A3FB4"/>
    <w:rsid w:val="008A4804"/>
    <w:rsid w:val="008A557B"/>
    <w:rsid w:val="008A5D07"/>
    <w:rsid w:val="008A5E53"/>
    <w:rsid w:val="008B1028"/>
    <w:rsid w:val="008B268C"/>
    <w:rsid w:val="008B3BC8"/>
    <w:rsid w:val="008B40A6"/>
    <w:rsid w:val="008B48CB"/>
    <w:rsid w:val="008B4D94"/>
    <w:rsid w:val="008B5772"/>
    <w:rsid w:val="008B688F"/>
    <w:rsid w:val="008B6E37"/>
    <w:rsid w:val="008B7295"/>
    <w:rsid w:val="008B74A5"/>
    <w:rsid w:val="008C0D90"/>
    <w:rsid w:val="008C3859"/>
    <w:rsid w:val="008C3904"/>
    <w:rsid w:val="008C4554"/>
    <w:rsid w:val="008C5349"/>
    <w:rsid w:val="008C5F40"/>
    <w:rsid w:val="008C615A"/>
    <w:rsid w:val="008C67C4"/>
    <w:rsid w:val="008C7330"/>
    <w:rsid w:val="008D0203"/>
    <w:rsid w:val="008D3CD1"/>
    <w:rsid w:val="008D4B6B"/>
    <w:rsid w:val="008D5F60"/>
    <w:rsid w:val="008D7AE7"/>
    <w:rsid w:val="008D7D5B"/>
    <w:rsid w:val="008D7EFA"/>
    <w:rsid w:val="008E1BB5"/>
    <w:rsid w:val="008E1D1B"/>
    <w:rsid w:val="008E2B89"/>
    <w:rsid w:val="008E2BB3"/>
    <w:rsid w:val="008E52FE"/>
    <w:rsid w:val="008E54B6"/>
    <w:rsid w:val="008E58DA"/>
    <w:rsid w:val="008E6B7F"/>
    <w:rsid w:val="008E7314"/>
    <w:rsid w:val="008E74BC"/>
    <w:rsid w:val="008F2CAA"/>
    <w:rsid w:val="008F3DF4"/>
    <w:rsid w:val="008F553B"/>
    <w:rsid w:val="008F6CBA"/>
    <w:rsid w:val="008F76C4"/>
    <w:rsid w:val="008F78F6"/>
    <w:rsid w:val="00900746"/>
    <w:rsid w:val="0090100A"/>
    <w:rsid w:val="00901B92"/>
    <w:rsid w:val="00902722"/>
    <w:rsid w:val="00903E05"/>
    <w:rsid w:val="0090530E"/>
    <w:rsid w:val="00905435"/>
    <w:rsid w:val="0090645E"/>
    <w:rsid w:val="009066E4"/>
    <w:rsid w:val="00911D2C"/>
    <w:rsid w:val="00911E74"/>
    <w:rsid w:val="00913BF4"/>
    <w:rsid w:val="00913CAE"/>
    <w:rsid w:val="00914293"/>
    <w:rsid w:val="00915811"/>
    <w:rsid w:val="00916785"/>
    <w:rsid w:val="00916806"/>
    <w:rsid w:val="009170A2"/>
    <w:rsid w:val="00920D7F"/>
    <w:rsid w:val="00920ED0"/>
    <w:rsid w:val="00922BDE"/>
    <w:rsid w:val="00922C0F"/>
    <w:rsid w:val="009231EA"/>
    <w:rsid w:val="00923430"/>
    <w:rsid w:val="009236C7"/>
    <w:rsid w:val="00924A44"/>
    <w:rsid w:val="009253EF"/>
    <w:rsid w:val="009256CA"/>
    <w:rsid w:val="009262CB"/>
    <w:rsid w:val="00926D09"/>
    <w:rsid w:val="00930C35"/>
    <w:rsid w:val="00931F45"/>
    <w:rsid w:val="0093244B"/>
    <w:rsid w:val="009327D5"/>
    <w:rsid w:val="00932F4D"/>
    <w:rsid w:val="00934435"/>
    <w:rsid w:val="00934CE8"/>
    <w:rsid w:val="00935081"/>
    <w:rsid w:val="00935B65"/>
    <w:rsid w:val="00936718"/>
    <w:rsid w:val="0093671E"/>
    <w:rsid w:val="00937C47"/>
    <w:rsid w:val="00940075"/>
    <w:rsid w:val="009406BA"/>
    <w:rsid w:val="00940E43"/>
    <w:rsid w:val="0094261A"/>
    <w:rsid w:val="00942709"/>
    <w:rsid w:val="00942A55"/>
    <w:rsid w:val="00942EFC"/>
    <w:rsid w:val="009430C7"/>
    <w:rsid w:val="00943A83"/>
    <w:rsid w:val="00944EFF"/>
    <w:rsid w:val="0094547B"/>
    <w:rsid w:val="009454E0"/>
    <w:rsid w:val="0094597E"/>
    <w:rsid w:val="00946DCA"/>
    <w:rsid w:val="00950280"/>
    <w:rsid w:val="00950728"/>
    <w:rsid w:val="00951397"/>
    <w:rsid w:val="0095221A"/>
    <w:rsid w:val="009527E1"/>
    <w:rsid w:val="00953B98"/>
    <w:rsid w:val="009545D9"/>
    <w:rsid w:val="00954878"/>
    <w:rsid w:val="00954AF5"/>
    <w:rsid w:val="00957472"/>
    <w:rsid w:val="009575F4"/>
    <w:rsid w:val="0096046E"/>
    <w:rsid w:val="0096126C"/>
    <w:rsid w:val="00961973"/>
    <w:rsid w:val="00964028"/>
    <w:rsid w:val="0096513D"/>
    <w:rsid w:val="00967D68"/>
    <w:rsid w:val="00970635"/>
    <w:rsid w:val="009712C8"/>
    <w:rsid w:val="0097151F"/>
    <w:rsid w:val="00971654"/>
    <w:rsid w:val="009723BA"/>
    <w:rsid w:val="0097281A"/>
    <w:rsid w:val="00973422"/>
    <w:rsid w:val="00973958"/>
    <w:rsid w:val="009749BF"/>
    <w:rsid w:val="0097521C"/>
    <w:rsid w:val="00976CEB"/>
    <w:rsid w:val="009778FF"/>
    <w:rsid w:val="00980B32"/>
    <w:rsid w:val="00982923"/>
    <w:rsid w:val="009835B6"/>
    <w:rsid w:val="0098459C"/>
    <w:rsid w:val="00984FB8"/>
    <w:rsid w:val="00985E24"/>
    <w:rsid w:val="009866EC"/>
    <w:rsid w:val="0098769A"/>
    <w:rsid w:val="009907C0"/>
    <w:rsid w:val="00991BFB"/>
    <w:rsid w:val="00991CE0"/>
    <w:rsid w:val="00992562"/>
    <w:rsid w:val="009925BF"/>
    <w:rsid w:val="0099356D"/>
    <w:rsid w:val="00994BE5"/>
    <w:rsid w:val="009952D4"/>
    <w:rsid w:val="00995E9D"/>
    <w:rsid w:val="00996947"/>
    <w:rsid w:val="00997793"/>
    <w:rsid w:val="009A0FEC"/>
    <w:rsid w:val="009A1063"/>
    <w:rsid w:val="009A213A"/>
    <w:rsid w:val="009A529B"/>
    <w:rsid w:val="009A6D50"/>
    <w:rsid w:val="009B3758"/>
    <w:rsid w:val="009B528F"/>
    <w:rsid w:val="009B664F"/>
    <w:rsid w:val="009B6D9A"/>
    <w:rsid w:val="009B7CB6"/>
    <w:rsid w:val="009C0FE0"/>
    <w:rsid w:val="009C24BC"/>
    <w:rsid w:val="009C271C"/>
    <w:rsid w:val="009C2D30"/>
    <w:rsid w:val="009C5AA6"/>
    <w:rsid w:val="009C5DEF"/>
    <w:rsid w:val="009C6044"/>
    <w:rsid w:val="009C6318"/>
    <w:rsid w:val="009C65B5"/>
    <w:rsid w:val="009C6E52"/>
    <w:rsid w:val="009C7C6B"/>
    <w:rsid w:val="009C7ED4"/>
    <w:rsid w:val="009D0299"/>
    <w:rsid w:val="009D0F1D"/>
    <w:rsid w:val="009D2AB9"/>
    <w:rsid w:val="009D39CF"/>
    <w:rsid w:val="009D5A06"/>
    <w:rsid w:val="009E0276"/>
    <w:rsid w:val="009E0470"/>
    <w:rsid w:val="009E1DE3"/>
    <w:rsid w:val="009E22D5"/>
    <w:rsid w:val="009E2496"/>
    <w:rsid w:val="009E25B2"/>
    <w:rsid w:val="009E2FBF"/>
    <w:rsid w:val="009E3699"/>
    <w:rsid w:val="009E3752"/>
    <w:rsid w:val="009E3D99"/>
    <w:rsid w:val="009E6A1B"/>
    <w:rsid w:val="009E78D7"/>
    <w:rsid w:val="009E7EA1"/>
    <w:rsid w:val="009F00E3"/>
    <w:rsid w:val="009F1374"/>
    <w:rsid w:val="009F1D7A"/>
    <w:rsid w:val="009F2FEC"/>
    <w:rsid w:val="009F4129"/>
    <w:rsid w:val="009F4640"/>
    <w:rsid w:val="009F6EC8"/>
    <w:rsid w:val="009F73E3"/>
    <w:rsid w:val="00A00223"/>
    <w:rsid w:val="00A00F8F"/>
    <w:rsid w:val="00A015C3"/>
    <w:rsid w:val="00A02163"/>
    <w:rsid w:val="00A02591"/>
    <w:rsid w:val="00A04FE2"/>
    <w:rsid w:val="00A05857"/>
    <w:rsid w:val="00A05991"/>
    <w:rsid w:val="00A06227"/>
    <w:rsid w:val="00A07503"/>
    <w:rsid w:val="00A07E6A"/>
    <w:rsid w:val="00A11AE1"/>
    <w:rsid w:val="00A11B43"/>
    <w:rsid w:val="00A11F35"/>
    <w:rsid w:val="00A12676"/>
    <w:rsid w:val="00A132E9"/>
    <w:rsid w:val="00A1391A"/>
    <w:rsid w:val="00A147CD"/>
    <w:rsid w:val="00A1618F"/>
    <w:rsid w:val="00A1665D"/>
    <w:rsid w:val="00A16ACC"/>
    <w:rsid w:val="00A16C90"/>
    <w:rsid w:val="00A1717F"/>
    <w:rsid w:val="00A203AC"/>
    <w:rsid w:val="00A20F15"/>
    <w:rsid w:val="00A210F0"/>
    <w:rsid w:val="00A2372E"/>
    <w:rsid w:val="00A23AA4"/>
    <w:rsid w:val="00A24ED1"/>
    <w:rsid w:val="00A256A8"/>
    <w:rsid w:val="00A26052"/>
    <w:rsid w:val="00A316D7"/>
    <w:rsid w:val="00A31D73"/>
    <w:rsid w:val="00A321C0"/>
    <w:rsid w:val="00A3259E"/>
    <w:rsid w:val="00A341BE"/>
    <w:rsid w:val="00A34672"/>
    <w:rsid w:val="00A3499E"/>
    <w:rsid w:val="00A34ADD"/>
    <w:rsid w:val="00A36FA5"/>
    <w:rsid w:val="00A37189"/>
    <w:rsid w:val="00A40351"/>
    <w:rsid w:val="00A403F8"/>
    <w:rsid w:val="00A408A8"/>
    <w:rsid w:val="00A43AED"/>
    <w:rsid w:val="00A44017"/>
    <w:rsid w:val="00A44161"/>
    <w:rsid w:val="00A44352"/>
    <w:rsid w:val="00A50D24"/>
    <w:rsid w:val="00A50D5C"/>
    <w:rsid w:val="00A5200F"/>
    <w:rsid w:val="00A52445"/>
    <w:rsid w:val="00A5287F"/>
    <w:rsid w:val="00A52E3C"/>
    <w:rsid w:val="00A530BD"/>
    <w:rsid w:val="00A53F90"/>
    <w:rsid w:val="00A543AD"/>
    <w:rsid w:val="00A56714"/>
    <w:rsid w:val="00A60EA5"/>
    <w:rsid w:val="00A60F55"/>
    <w:rsid w:val="00A61216"/>
    <w:rsid w:val="00A626F6"/>
    <w:rsid w:val="00A62F10"/>
    <w:rsid w:val="00A62F68"/>
    <w:rsid w:val="00A638A1"/>
    <w:rsid w:val="00A64132"/>
    <w:rsid w:val="00A66331"/>
    <w:rsid w:val="00A66600"/>
    <w:rsid w:val="00A67FC3"/>
    <w:rsid w:val="00A704E4"/>
    <w:rsid w:val="00A709A1"/>
    <w:rsid w:val="00A7122F"/>
    <w:rsid w:val="00A71FBA"/>
    <w:rsid w:val="00A72606"/>
    <w:rsid w:val="00A72B01"/>
    <w:rsid w:val="00A72CBB"/>
    <w:rsid w:val="00A736C5"/>
    <w:rsid w:val="00A73CA2"/>
    <w:rsid w:val="00A73D4D"/>
    <w:rsid w:val="00A7535A"/>
    <w:rsid w:val="00A75F90"/>
    <w:rsid w:val="00A76D30"/>
    <w:rsid w:val="00A7770C"/>
    <w:rsid w:val="00A777C4"/>
    <w:rsid w:val="00A8048C"/>
    <w:rsid w:val="00A804D6"/>
    <w:rsid w:val="00A81764"/>
    <w:rsid w:val="00A81C92"/>
    <w:rsid w:val="00A85CEE"/>
    <w:rsid w:val="00A86362"/>
    <w:rsid w:val="00A86E4C"/>
    <w:rsid w:val="00A90138"/>
    <w:rsid w:val="00A90B83"/>
    <w:rsid w:val="00A924BC"/>
    <w:rsid w:val="00A93B8F"/>
    <w:rsid w:val="00A96450"/>
    <w:rsid w:val="00AA00FE"/>
    <w:rsid w:val="00AA31E7"/>
    <w:rsid w:val="00AA4193"/>
    <w:rsid w:val="00AA4799"/>
    <w:rsid w:val="00AA5BAE"/>
    <w:rsid w:val="00AA6735"/>
    <w:rsid w:val="00AA6B26"/>
    <w:rsid w:val="00AA770B"/>
    <w:rsid w:val="00AA7D97"/>
    <w:rsid w:val="00AB03A6"/>
    <w:rsid w:val="00AB2099"/>
    <w:rsid w:val="00AB2D93"/>
    <w:rsid w:val="00AB33A3"/>
    <w:rsid w:val="00AB37D6"/>
    <w:rsid w:val="00AB45FF"/>
    <w:rsid w:val="00AB5255"/>
    <w:rsid w:val="00AB5ADA"/>
    <w:rsid w:val="00AB603B"/>
    <w:rsid w:val="00AB6D82"/>
    <w:rsid w:val="00AB6F47"/>
    <w:rsid w:val="00AB7628"/>
    <w:rsid w:val="00AB775E"/>
    <w:rsid w:val="00AB7ADF"/>
    <w:rsid w:val="00AC17B2"/>
    <w:rsid w:val="00AC1D08"/>
    <w:rsid w:val="00AC3124"/>
    <w:rsid w:val="00AC341E"/>
    <w:rsid w:val="00AC46F5"/>
    <w:rsid w:val="00AC627D"/>
    <w:rsid w:val="00AC7433"/>
    <w:rsid w:val="00AC7A93"/>
    <w:rsid w:val="00AC7F1A"/>
    <w:rsid w:val="00AD0760"/>
    <w:rsid w:val="00AD2703"/>
    <w:rsid w:val="00AD4648"/>
    <w:rsid w:val="00AD53EB"/>
    <w:rsid w:val="00AD598B"/>
    <w:rsid w:val="00AD7379"/>
    <w:rsid w:val="00AD7806"/>
    <w:rsid w:val="00AD7B86"/>
    <w:rsid w:val="00AE2C1C"/>
    <w:rsid w:val="00AE2DFC"/>
    <w:rsid w:val="00AE2EB5"/>
    <w:rsid w:val="00AE3A5E"/>
    <w:rsid w:val="00AE4077"/>
    <w:rsid w:val="00AE6431"/>
    <w:rsid w:val="00AE6D62"/>
    <w:rsid w:val="00AF0CA6"/>
    <w:rsid w:val="00AF0FE9"/>
    <w:rsid w:val="00AF2BE4"/>
    <w:rsid w:val="00AF6F58"/>
    <w:rsid w:val="00AF752F"/>
    <w:rsid w:val="00AF761E"/>
    <w:rsid w:val="00B0020D"/>
    <w:rsid w:val="00B021A4"/>
    <w:rsid w:val="00B06023"/>
    <w:rsid w:val="00B11411"/>
    <w:rsid w:val="00B11E47"/>
    <w:rsid w:val="00B12701"/>
    <w:rsid w:val="00B1296B"/>
    <w:rsid w:val="00B12E3D"/>
    <w:rsid w:val="00B13931"/>
    <w:rsid w:val="00B13D5E"/>
    <w:rsid w:val="00B14249"/>
    <w:rsid w:val="00B20092"/>
    <w:rsid w:val="00B20219"/>
    <w:rsid w:val="00B21896"/>
    <w:rsid w:val="00B2312F"/>
    <w:rsid w:val="00B249D7"/>
    <w:rsid w:val="00B25EEF"/>
    <w:rsid w:val="00B25F9D"/>
    <w:rsid w:val="00B26D80"/>
    <w:rsid w:val="00B30B5D"/>
    <w:rsid w:val="00B310B9"/>
    <w:rsid w:val="00B3166F"/>
    <w:rsid w:val="00B31995"/>
    <w:rsid w:val="00B323FA"/>
    <w:rsid w:val="00B33628"/>
    <w:rsid w:val="00B336B0"/>
    <w:rsid w:val="00B37AFB"/>
    <w:rsid w:val="00B40081"/>
    <w:rsid w:val="00B4152B"/>
    <w:rsid w:val="00B41DB9"/>
    <w:rsid w:val="00B420E6"/>
    <w:rsid w:val="00B432C7"/>
    <w:rsid w:val="00B45CE7"/>
    <w:rsid w:val="00B4634A"/>
    <w:rsid w:val="00B47FE2"/>
    <w:rsid w:val="00B53850"/>
    <w:rsid w:val="00B541B0"/>
    <w:rsid w:val="00B543AE"/>
    <w:rsid w:val="00B543BF"/>
    <w:rsid w:val="00B544F0"/>
    <w:rsid w:val="00B56ED9"/>
    <w:rsid w:val="00B5708D"/>
    <w:rsid w:val="00B57099"/>
    <w:rsid w:val="00B6097B"/>
    <w:rsid w:val="00B61EB5"/>
    <w:rsid w:val="00B639E8"/>
    <w:rsid w:val="00B63A16"/>
    <w:rsid w:val="00B63BD7"/>
    <w:rsid w:val="00B640E2"/>
    <w:rsid w:val="00B64365"/>
    <w:rsid w:val="00B64F3E"/>
    <w:rsid w:val="00B657F1"/>
    <w:rsid w:val="00B664B1"/>
    <w:rsid w:val="00B7015F"/>
    <w:rsid w:val="00B702C6"/>
    <w:rsid w:val="00B705A7"/>
    <w:rsid w:val="00B7070B"/>
    <w:rsid w:val="00B70856"/>
    <w:rsid w:val="00B70D3E"/>
    <w:rsid w:val="00B71144"/>
    <w:rsid w:val="00B714B9"/>
    <w:rsid w:val="00B714C4"/>
    <w:rsid w:val="00B7232E"/>
    <w:rsid w:val="00B754DC"/>
    <w:rsid w:val="00B75DF3"/>
    <w:rsid w:val="00B75EF3"/>
    <w:rsid w:val="00B75F60"/>
    <w:rsid w:val="00B7638E"/>
    <w:rsid w:val="00B77009"/>
    <w:rsid w:val="00B77138"/>
    <w:rsid w:val="00B81B18"/>
    <w:rsid w:val="00B827E8"/>
    <w:rsid w:val="00B82C8F"/>
    <w:rsid w:val="00B82D3D"/>
    <w:rsid w:val="00B836F0"/>
    <w:rsid w:val="00B85E2F"/>
    <w:rsid w:val="00B8650E"/>
    <w:rsid w:val="00B873BC"/>
    <w:rsid w:val="00B90384"/>
    <w:rsid w:val="00B9039F"/>
    <w:rsid w:val="00B913EE"/>
    <w:rsid w:val="00B9233C"/>
    <w:rsid w:val="00B927FF"/>
    <w:rsid w:val="00B93672"/>
    <w:rsid w:val="00B936C2"/>
    <w:rsid w:val="00B938E3"/>
    <w:rsid w:val="00B93984"/>
    <w:rsid w:val="00B94F9C"/>
    <w:rsid w:val="00B952B9"/>
    <w:rsid w:val="00B96298"/>
    <w:rsid w:val="00B96674"/>
    <w:rsid w:val="00BA0784"/>
    <w:rsid w:val="00BA1653"/>
    <w:rsid w:val="00BA2384"/>
    <w:rsid w:val="00BA2C25"/>
    <w:rsid w:val="00BA58B1"/>
    <w:rsid w:val="00BA5C00"/>
    <w:rsid w:val="00BA66EC"/>
    <w:rsid w:val="00BA685F"/>
    <w:rsid w:val="00BA7A4B"/>
    <w:rsid w:val="00BB08FE"/>
    <w:rsid w:val="00BB1197"/>
    <w:rsid w:val="00BB1295"/>
    <w:rsid w:val="00BB24CB"/>
    <w:rsid w:val="00BB2FF5"/>
    <w:rsid w:val="00BB665C"/>
    <w:rsid w:val="00BB6C9A"/>
    <w:rsid w:val="00BB6DA5"/>
    <w:rsid w:val="00BC0A1B"/>
    <w:rsid w:val="00BC103A"/>
    <w:rsid w:val="00BC1584"/>
    <w:rsid w:val="00BC21E2"/>
    <w:rsid w:val="00BC2222"/>
    <w:rsid w:val="00BC2CE0"/>
    <w:rsid w:val="00BC5CC0"/>
    <w:rsid w:val="00BC7665"/>
    <w:rsid w:val="00BC7E83"/>
    <w:rsid w:val="00BC7ECF"/>
    <w:rsid w:val="00BD070D"/>
    <w:rsid w:val="00BD1753"/>
    <w:rsid w:val="00BD24BD"/>
    <w:rsid w:val="00BD6AD0"/>
    <w:rsid w:val="00BD70BC"/>
    <w:rsid w:val="00BD716F"/>
    <w:rsid w:val="00BE1332"/>
    <w:rsid w:val="00BE1F74"/>
    <w:rsid w:val="00BE33E5"/>
    <w:rsid w:val="00BE38D6"/>
    <w:rsid w:val="00BE3DAD"/>
    <w:rsid w:val="00BE42BF"/>
    <w:rsid w:val="00BE53F0"/>
    <w:rsid w:val="00BE635B"/>
    <w:rsid w:val="00BE69B5"/>
    <w:rsid w:val="00BE6F4D"/>
    <w:rsid w:val="00BF02A5"/>
    <w:rsid w:val="00BF06A0"/>
    <w:rsid w:val="00BF0943"/>
    <w:rsid w:val="00BF13CE"/>
    <w:rsid w:val="00BF157A"/>
    <w:rsid w:val="00BF184E"/>
    <w:rsid w:val="00BF1A29"/>
    <w:rsid w:val="00BF50E1"/>
    <w:rsid w:val="00BF55C0"/>
    <w:rsid w:val="00BF5B3A"/>
    <w:rsid w:val="00BF5BD9"/>
    <w:rsid w:val="00C0091D"/>
    <w:rsid w:val="00C02D83"/>
    <w:rsid w:val="00C02ECE"/>
    <w:rsid w:val="00C03744"/>
    <w:rsid w:val="00C0388E"/>
    <w:rsid w:val="00C04F4C"/>
    <w:rsid w:val="00C062C5"/>
    <w:rsid w:val="00C072FE"/>
    <w:rsid w:val="00C10642"/>
    <w:rsid w:val="00C116B7"/>
    <w:rsid w:val="00C11A14"/>
    <w:rsid w:val="00C11D31"/>
    <w:rsid w:val="00C1485C"/>
    <w:rsid w:val="00C15B6F"/>
    <w:rsid w:val="00C15BC7"/>
    <w:rsid w:val="00C16CB5"/>
    <w:rsid w:val="00C16E8F"/>
    <w:rsid w:val="00C1740C"/>
    <w:rsid w:val="00C17DDC"/>
    <w:rsid w:val="00C207E9"/>
    <w:rsid w:val="00C21A62"/>
    <w:rsid w:val="00C236CE"/>
    <w:rsid w:val="00C238FF"/>
    <w:rsid w:val="00C23BC8"/>
    <w:rsid w:val="00C251C6"/>
    <w:rsid w:val="00C25FB6"/>
    <w:rsid w:val="00C33457"/>
    <w:rsid w:val="00C33E31"/>
    <w:rsid w:val="00C34B7D"/>
    <w:rsid w:val="00C3554A"/>
    <w:rsid w:val="00C3575B"/>
    <w:rsid w:val="00C367C2"/>
    <w:rsid w:val="00C36BFE"/>
    <w:rsid w:val="00C36D64"/>
    <w:rsid w:val="00C37AA2"/>
    <w:rsid w:val="00C41E3F"/>
    <w:rsid w:val="00C458CD"/>
    <w:rsid w:val="00C45922"/>
    <w:rsid w:val="00C46622"/>
    <w:rsid w:val="00C4694C"/>
    <w:rsid w:val="00C47ACD"/>
    <w:rsid w:val="00C511B8"/>
    <w:rsid w:val="00C51A5F"/>
    <w:rsid w:val="00C51B15"/>
    <w:rsid w:val="00C51DB8"/>
    <w:rsid w:val="00C52ABD"/>
    <w:rsid w:val="00C535AA"/>
    <w:rsid w:val="00C5470C"/>
    <w:rsid w:val="00C54B65"/>
    <w:rsid w:val="00C56597"/>
    <w:rsid w:val="00C5667F"/>
    <w:rsid w:val="00C56C51"/>
    <w:rsid w:val="00C570C0"/>
    <w:rsid w:val="00C57BA9"/>
    <w:rsid w:val="00C60B7E"/>
    <w:rsid w:val="00C6118C"/>
    <w:rsid w:val="00C62A28"/>
    <w:rsid w:val="00C63CC3"/>
    <w:rsid w:val="00C64288"/>
    <w:rsid w:val="00C664B6"/>
    <w:rsid w:val="00C66547"/>
    <w:rsid w:val="00C67038"/>
    <w:rsid w:val="00C67A70"/>
    <w:rsid w:val="00C67EE5"/>
    <w:rsid w:val="00C7138E"/>
    <w:rsid w:val="00C73D89"/>
    <w:rsid w:val="00C744E1"/>
    <w:rsid w:val="00C754D1"/>
    <w:rsid w:val="00C779FC"/>
    <w:rsid w:val="00C80801"/>
    <w:rsid w:val="00C80DE6"/>
    <w:rsid w:val="00C82C21"/>
    <w:rsid w:val="00C82CCF"/>
    <w:rsid w:val="00C8313A"/>
    <w:rsid w:val="00C84546"/>
    <w:rsid w:val="00C8547D"/>
    <w:rsid w:val="00C8794D"/>
    <w:rsid w:val="00C87B8B"/>
    <w:rsid w:val="00C90098"/>
    <w:rsid w:val="00C90C60"/>
    <w:rsid w:val="00C90E7A"/>
    <w:rsid w:val="00C91242"/>
    <w:rsid w:val="00C91D37"/>
    <w:rsid w:val="00C9267A"/>
    <w:rsid w:val="00C92B30"/>
    <w:rsid w:val="00C946AC"/>
    <w:rsid w:val="00C95531"/>
    <w:rsid w:val="00C975F2"/>
    <w:rsid w:val="00C97C71"/>
    <w:rsid w:val="00C97C8F"/>
    <w:rsid w:val="00CA15BA"/>
    <w:rsid w:val="00CA17FF"/>
    <w:rsid w:val="00CA2EBC"/>
    <w:rsid w:val="00CA3296"/>
    <w:rsid w:val="00CA5E7F"/>
    <w:rsid w:val="00CA6547"/>
    <w:rsid w:val="00CA730F"/>
    <w:rsid w:val="00CB01AD"/>
    <w:rsid w:val="00CB0F2E"/>
    <w:rsid w:val="00CB2115"/>
    <w:rsid w:val="00CB284E"/>
    <w:rsid w:val="00CB3DD6"/>
    <w:rsid w:val="00CC0FFF"/>
    <w:rsid w:val="00CC28DA"/>
    <w:rsid w:val="00CC2E4D"/>
    <w:rsid w:val="00CC3798"/>
    <w:rsid w:val="00CC38EB"/>
    <w:rsid w:val="00CC550D"/>
    <w:rsid w:val="00CD0DF3"/>
    <w:rsid w:val="00CD23D8"/>
    <w:rsid w:val="00CD2BC1"/>
    <w:rsid w:val="00CD2C82"/>
    <w:rsid w:val="00CD4ADD"/>
    <w:rsid w:val="00CD6C3E"/>
    <w:rsid w:val="00CD7479"/>
    <w:rsid w:val="00CD76F3"/>
    <w:rsid w:val="00CE0F69"/>
    <w:rsid w:val="00CE1773"/>
    <w:rsid w:val="00CE261D"/>
    <w:rsid w:val="00CE5E31"/>
    <w:rsid w:val="00CF0B68"/>
    <w:rsid w:val="00CF1016"/>
    <w:rsid w:val="00CF2F1D"/>
    <w:rsid w:val="00CF30CC"/>
    <w:rsid w:val="00CF32FA"/>
    <w:rsid w:val="00CF6F76"/>
    <w:rsid w:val="00CF7002"/>
    <w:rsid w:val="00CF799A"/>
    <w:rsid w:val="00CF7CAF"/>
    <w:rsid w:val="00D00035"/>
    <w:rsid w:val="00D0034B"/>
    <w:rsid w:val="00D006D9"/>
    <w:rsid w:val="00D00AE9"/>
    <w:rsid w:val="00D01A96"/>
    <w:rsid w:val="00D01C87"/>
    <w:rsid w:val="00D01C9E"/>
    <w:rsid w:val="00D0211C"/>
    <w:rsid w:val="00D02289"/>
    <w:rsid w:val="00D02B01"/>
    <w:rsid w:val="00D057B0"/>
    <w:rsid w:val="00D05B8B"/>
    <w:rsid w:val="00D05CAD"/>
    <w:rsid w:val="00D06141"/>
    <w:rsid w:val="00D06953"/>
    <w:rsid w:val="00D10031"/>
    <w:rsid w:val="00D10D5F"/>
    <w:rsid w:val="00D10F46"/>
    <w:rsid w:val="00D125E2"/>
    <w:rsid w:val="00D136FD"/>
    <w:rsid w:val="00D141E9"/>
    <w:rsid w:val="00D14616"/>
    <w:rsid w:val="00D15C07"/>
    <w:rsid w:val="00D15D18"/>
    <w:rsid w:val="00D1736D"/>
    <w:rsid w:val="00D21438"/>
    <w:rsid w:val="00D2179A"/>
    <w:rsid w:val="00D22EEC"/>
    <w:rsid w:val="00D23635"/>
    <w:rsid w:val="00D239B7"/>
    <w:rsid w:val="00D27167"/>
    <w:rsid w:val="00D27CCD"/>
    <w:rsid w:val="00D305F8"/>
    <w:rsid w:val="00D30605"/>
    <w:rsid w:val="00D31B87"/>
    <w:rsid w:val="00D332DC"/>
    <w:rsid w:val="00D348BD"/>
    <w:rsid w:val="00D35891"/>
    <w:rsid w:val="00D35DF7"/>
    <w:rsid w:val="00D36B38"/>
    <w:rsid w:val="00D3733A"/>
    <w:rsid w:val="00D40AC9"/>
    <w:rsid w:val="00D42528"/>
    <w:rsid w:val="00D42746"/>
    <w:rsid w:val="00D456A7"/>
    <w:rsid w:val="00D466D5"/>
    <w:rsid w:val="00D46AB4"/>
    <w:rsid w:val="00D46D69"/>
    <w:rsid w:val="00D47023"/>
    <w:rsid w:val="00D52EAA"/>
    <w:rsid w:val="00D5362A"/>
    <w:rsid w:val="00D53F95"/>
    <w:rsid w:val="00D54546"/>
    <w:rsid w:val="00D545EB"/>
    <w:rsid w:val="00D5635D"/>
    <w:rsid w:val="00D612C8"/>
    <w:rsid w:val="00D61427"/>
    <w:rsid w:val="00D619A8"/>
    <w:rsid w:val="00D630D3"/>
    <w:rsid w:val="00D638F5"/>
    <w:rsid w:val="00D6404C"/>
    <w:rsid w:val="00D64249"/>
    <w:rsid w:val="00D6552F"/>
    <w:rsid w:val="00D6558C"/>
    <w:rsid w:val="00D65942"/>
    <w:rsid w:val="00D6715F"/>
    <w:rsid w:val="00D67372"/>
    <w:rsid w:val="00D67849"/>
    <w:rsid w:val="00D678B3"/>
    <w:rsid w:val="00D71511"/>
    <w:rsid w:val="00D722C8"/>
    <w:rsid w:val="00D723CB"/>
    <w:rsid w:val="00D74900"/>
    <w:rsid w:val="00D74DB9"/>
    <w:rsid w:val="00D762EA"/>
    <w:rsid w:val="00D76B09"/>
    <w:rsid w:val="00D77467"/>
    <w:rsid w:val="00D80674"/>
    <w:rsid w:val="00D8081C"/>
    <w:rsid w:val="00D80F7B"/>
    <w:rsid w:val="00D83278"/>
    <w:rsid w:val="00D84944"/>
    <w:rsid w:val="00D84D65"/>
    <w:rsid w:val="00D8595A"/>
    <w:rsid w:val="00D85BF8"/>
    <w:rsid w:val="00D85E0E"/>
    <w:rsid w:val="00D86467"/>
    <w:rsid w:val="00D86F30"/>
    <w:rsid w:val="00D91EE2"/>
    <w:rsid w:val="00D94561"/>
    <w:rsid w:val="00D94758"/>
    <w:rsid w:val="00D94C7A"/>
    <w:rsid w:val="00D94FAF"/>
    <w:rsid w:val="00D9537F"/>
    <w:rsid w:val="00DA07CD"/>
    <w:rsid w:val="00DA0B40"/>
    <w:rsid w:val="00DA0F54"/>
    <w:rsid w:val="00DA26E8"/>
    <w:rsid w:val="00DA2E2A"/>
    <w:rsid w:val="00DA6A8F"/>
    <w:rsid w:val="00DA71B5"/>
    <w:rsid w:val="00DA74C2"/>
    <w:rsid w:val="00DB1B3A"/>
    <w:rsid w:val="00DB31A9"/>
    <w:rsid w:val="00DB3DD4"/>
    <w:rsid w:val="00DB3FF0"/>
    <w:rsid w:val="00DB43D4"/>
    <w:rsid w:val="00DB5932"/>
    <w:rsid w:val="00DB6D5B"/>
    <w:rsid w:val="00DB7553"/>
    <w:rsid w:val="00DC030E"/>
    <w:rsid w:val="00DC174E"/>
    <w:rsid w:val="00DC1FAE"/>
    <w:rsid w:val="00DC360C"/>
    <w:rsid w:val="00DC370E"/>
    <w:rsid w:val="00DC3750"/>
    <w:rsid w:val="00DC3CF5"/>
    <w:rsid w:val="00DC57F3"/>
    <w:rsid w:val="00DC6E90"/>
    <w:rsid w:val="00DC7DA5"/>
    <w:rsid w:val="00DD2D57"/>
    <w:rsid w:val="00DD2DB1"/>
    <w:rsid w:val="00DD2F90"/>
    <w:rsid w:val="00DD3AA9"/>
    <w:rsid w:val="00DD6392"/>
    <w:rsid w:val="00DD666D"/>
    <w:rsid w:val="00DE005A"/>
    <w:rsid w:val="00DE072D"/>
    <w:rsid w:val="00DE274C"/>
    <w:rsid w:val="00DE2D9D"/>
    <w:rsid w:val="00DE364F"/>
    <w:rsid w:val="00DE3960"/>
    <w:rsid w:val="00DE3EF6"/>
    <w:rsid w:val="00DE4403"/>
    <w:rsid w:val="00DE4EFC"/>
    <w:rsid w:val="00DE567F"/>
    <w:rsid w:val="00DE5896"/>
    <w:rsid w:val="00DE610D"/>
    <w:rsid w:val="00DF0093"/>
    <w:rsid w:val="00DF0930"/>
    <w:rsid w:val="00DF335F"/>
    <w:rsid w:val="00DF39CB"/>
    <w:rsid w:val="00DF5A0E"/>
    <w:rsid w:val="00DF611A"/>
    <w:rsid w:val="00E01B60"/>
    <w:rsid w:val="00E01D1E"/>
    <w:rsid w:val="00E01FE0"/>
    <w:rsid w:val="00E022D7"/>
    <w:rsid w:val="00E02D27"/>
    <w:rsid w:val="00E0352A"/>
    <w:rsid w:val="00E04322"/>
    <w:rsid w:val="00E04ADD"/>
    <w:rsid w:val="00E04DB9"/>
    <w:rsid w:val="00E06155"/>
    <w:rsid w:val="00E0683D"/>
    <w:rsid w:val="00E0763D"/>
    <w:rsid w:val="00E076A2"/>
    <w:rsid w:val="00E10535"/>
    <w:rsid w:val="00E111A8"/>
    <w:rsid w:val="00E113EC"/>
    <w:rsid w:val="00E1178F"/>
    <w:rsid w:val="00E11FF8"/>
    <w:rsid w:val="00E12625"/>
    <w:rsid w:val="00E12981"/>
    <w:rsid w:val="00E17A4A"/>
    <w:rsid w:val="00E205E6"/>
    <w:rsid w:val="00E2071D"/>
    <w:rsid w:val="00E20C28"/>
    <w:rsid w:val="00E22256"/>
    <w:rsid w:val="00E2292C"/>
    <w:rsid w:val="00E22AF4"/>
    <w:rsid w:val="00E24AD6"/>
    <w:rsid w:val="00E258BA"/>
    <w:rsid w:val="00E27008"/>
    <w:rsid w:val="00E30D1A"/>
    <w:rsid w:val="00E31ACB"/>
    <w:rsid w:val="00E33362"/>
    <w:rsid w:val="00E345C7"/>
    <w:rsid w:val="00E3594F"/>
    <w:rsid w:val="00E35B0F"/>
    <w:rsid w:val="00E37ADB"/>
    <w:rsid w:val="00E402ED"/>
    <w:rsid w:val="00E4032D"/>
    <w:rsid w:val="00E40766"/>
    <w:rsid w:val="00E42A74"/>
    <w:rsid w:val="00E434D8"/>
    <w:rsid w:val="00E43D16"/>
    <w:rsid w:val="00E44761"/>
    <w:rsid w:val="00E46B46"/>
    <w:rsid w:val="00E47D5E"/>
    <w:rsid w:val="00E47D68"/>
    <w:rsid w:val="00E50463"/>
    <w:rsid w:val="00E51192"/>
    <w:rsid w:val="00E514C8"/>
    <w:rsid w:val="00E51AE3"/>
    <w:rsid w:val="00E51B8A"/>
    <w:rsid w:val="00E532C5"/>
    <w:rsid w:val="00E53706"/>
    <w:rsid w:val="00E54118"/>
    <w:rsid w:val="00E55C61"/>
    <w:rsid w:val="00E55D2B"/>
    <w:rsid w:val="00E5659E"/>
    <w:rsid w:val="00E57011"/>
    <w:rsid w:val="00E577D6"/>
    <w:rsid w:val="00E601D9"/>
    <w:rsid w:val="00E62012"/>
    <w:rsid w:val="00E63098"/>
    <w:rsid w:val="00E65005"/>
    <w:rsid w:val="00E66285"/>
    <w:rsid w:val="00E675BE"/>
    <w:rsid w:val="00E67AA8"/>
    <w:rsid w:val="00E70947"/>
    <w:rsid w:val="00E710B5"/>
    <w:rsid w:val="00E716CD"/>
    <w:rsid w:val="00E71B13"/>
    <w:rsid w:val="00E72E0C"/>
    <w:rsid w:val="00E738BD"/>
    <w:rsid w:val="00E73EFC"/>
    <w:rsid w:val="00E759EA"/>
    <w:rsid w:val="00E75C41"/>
    <w:rsid w:val="00E75D60"/>
    <w:rsid w:val="00E7708B"/>
    <w:rsid w:val="00E808E9"/>
    <w:rsid w:val="00E80C1D"/>
    <w:rsid w:val="00E81FA6"/>
    <w:rsid w:val="00E8299A"/>
    <w:rsid w:val="00E83894"/>
    <w:rsid w:val="00E84087"/>
    <w:rsid w:val="00E849BE"/>
    <w:rsid w:val="00E85E10"/>
    <w:rsid w:val="00E8641B"/>
    <w:rsid w:val="00E867DE"/>
    <w:rsid w:val="00E86DA9"/>
    <w:rsid w:val="00E87A62"/>
    <w:rsid w:val="00E901A2"/>
    <w:rsid w:val="00E901B8"/>
    <w:rsid w:val="00E9021E"/>
    <w:rsid w:val="00E91A14"/>
    <w:rsid w:val="00E92C36"/>
    <w:rsid w:val="00E95667"/>
    <w:rsid w:val="00E95E09"/>
    <w:rsid w:val="00E96484"/>
    <w:rsid w:val="00EA0311"/>
    <w:rsid w:val="00EA083A"/>
    <w:rsid w:val="00EA0846"/>
    <w:rsid w:val="00EA27AA"/>
    <w:rsid w:val="00EA30F6"/>
    <w:rsid w:val="00EA324F"/>
    <w:rsid w:val="00EA370A"/>
    <w:rsid w:val="00EA3C18"/>
    <w:rsid w:val="00EA425F"/>
    <w:rsid w:val="00EA499B"/>
    <w:rsid w:val="00EA63EC"/>
    <w:rsid w:val="00EA6702"/>
    <w:rsid w:val="00EB14A7"/>
    <w:rsid w:val="00EB295C"/>
    <w:rsid w:val="00EB44A8"/>
    <w:rsid w:val="00EB5310"/>
    <w:rsid w:val="00EB64E2"/>
    <w:rsid w:val="00EB6BD2"/>
    <w:rsid w:val="00EC012B"/>
    <w:rsid w:val="00EC162F"/>
    <w:rsid w:val="00EC222A"/>
    <w:rsid w:val="00EC24CC"/>
    <w:rsid w:val="00EC5785"/>
    <w:rsid w:val="00EC5F23"/>
    <w:rsid w:val="00EC707E"/>
    <w:rsid w:val="00EC7681"/>
    <w:rsid w:val="00EC7C17"/>
    <w:rsid w:val="00ED0B0A"/>
    <w:rsid w:val="00ED1BD0"/>
    <w:rsid w:val="00ED253C"/>
    <w:rsid w:val="00ED3D9E"/>
    <w:rsid w:val="00ED5006"/>
    <w:rsid w:val="00ED592A"/>
    <w:rsid w:val="00ED7E29"/>
    <w:rsid w:val="00ED7E6D"/>
    <w:rsid w:val="00EE37F7"/>
    <w:rsid w:val="00EE5549"/>
    <w:rsid w:val="00EE7C8D"/>
    <w:rsid w:val="00EF1170"/>
    <w:rsid w:val="00EF23B4"/>
    <w:rsid w:val="00EF39C0"/>
    <w:rsid w:val="00EF42D7"/>
    <w:rsid w:val="00EF5459"/>
    <w:rsid w:val="00EF5895"/>
    <w:rsid w:val="00EF69B2"/>
    <w:rsid w:val="00EF72E2"/>
    <w:rsid w:val="00EF7585"/>
    <w:rsid w:val="00F0008E"/>
    <w:rsid w:val="00F01945"/>
    <w:rsid w:val="00F026CF"/>
    <w:rsid w:val="00F02C9B"/>
    <w:rsid w:val="00F04F1E"/>
    <w:rsid w:val="00F055C0"/>
    <w:rsid w:val="00F05BA7"/>
    <w:rsid w:val="00F05EF8"/>
    <w:rsid w:val="00F11BAB"/>
    <w:rsid w:val="00F13E4C"/>
    <w:rsid w:val="00F145C1"/>
    <w:rsid w:val="00F15AEF"/>
    <w:rsid w:val="00F17A19"/>
    <w:rsid w:val="00F17AEF"/>
    <w:rsid w:val="00F20962"/>
    <w:rsid w:val="00F21A7F"/>
    <w:rsid w:val="00F22B76"/>
    <w:rsid w:val="00F2370D"/>
    <w:rsid w:val="00F23CD1"/>
    <w:rsid w:val="00F23F4F"/>
    <w:rsid w:val="00F2463D"/>
    <w:rsid w:val="00F25E18"/>
    <w:rsid w:val="00F26196"/>
    <w:rsid w:val="00F27A45"/>
    <w:rsid w:val="00F27D66"/>
    <w:rsid w:val="00F331C2"/>
    <w:rsid w:val="00F35673"/>
    <w:rsid w:val="00F36C1B"/>
    <w:rsid w:val="00F372B6"/>
    <w:rsid w:val="00F372F5"/>
    <w:rsid w:val="00F4109B"/>
    <w:rsid w:val="00F41CAC"/>
    <w:rsid w:val="00F4208D"/>
    <w:rsid w:val="00F43B52"/>
    <w:rsid w:val="00F43EBE"/>
    <w:rsid w:val="00F4477D"/>
    <w:rsid w:val="00F44F7F"/>
    <w:rsid w:val="00F45532"/>
    <w:rsid w:val="00F456F0"/>
    <w:rsid w:val="00F46318"/>
    <w:rsid w:val="00F46E5A"/>
    <w:rsid w:val="00F47F6F"/>
    <w:rsid w:val="00F50441"/>
    <w:rsid w:val="00F50742"/>
    <w:rsid w:val="00F51CA4"/>
    <w:rsid w:val="00F53342"/>
    <w:rsid w:val="00F53366"/>
    <w:rsid w:val="00F5362E"/>
    <w:rsid w:val="00F53694"/>
    <w:rsid w:val="00F548DA"/>
    <w:rsid w:val="00F55B25"/>
    <w:rsid w:val="00F561EB"/>
    <w:rsid w:val="00F567B7"/>
    <w:rsid w:val="00F56D32"/>
    <w:rsid w:val="00F56E59"/>
    <w:rsid w:val="00F60C73"/>
    <w:rsid w:val="00F617C6"/>
    <w:rsid w:val="00F6197A"/>
    <w:rsid w:val="00F62AAF"/>
    <w:rsid w:val="00F636C3"/>
    <w:rsid w:val="00F6403C"/>
    <w:rsid w:val="00F64301"/>
    <w:rsid w:val="00F64893"/>
    <w:rsid w:val="00F6731E"/>
    <w:rsid w:val="00F67447"/>
    <w:rsid w:val="00F720CA"/>
    <w:rsid w:val="00F72791"/>
    <w:rsid w:val="00F7331C"/>
    <w:rsid w:val="00F74A47"/>
    <w:rsid w:val="00F753EC"/>
    <w:rsid w:val="00F754A6"/>
    <w:rsid w:val="00F80BF8"/>
    <w:rsid w:val="00F813D3"/>
    <w:rsid w:val="00F8448E"/>
    <w:rsid w:val="00F84640"/>
    <w:rsid w:val="00F86F56"/>
    <w:rsid w:val="00F87140"/>
    <w:rsid w:val="00F87430"/>
    <w:rsid w:val="00F87DB6"/>
    <w:rsid w:val="00F907F2"/>
    <w:rsid w:val="00F90BD1"/>
    <w:rsid w:val="00F91570"/>
    <w:rsid w:val="00F919DB"/>
    <w:rsid w:val="00F94203"/>
    <w:rsid w:val="00F9475F"/>
    <w:rsid w:val="00F94853"/>
    <w:rsid w:val="00F95774"/>
    <w:rsid w:val="00F96549"/>
    <w:rsid w:val="00F96883"/>
    <w:rsid w:val="00F96B0B"/>
    <w:rsid w:val="00F96EE8"/>
    <w:rsid w:val="00F97968"/>
    <w:rsid w:val="00FA0135"/>
    <w:rsid w:val="00FA0263"/>
    <w:rsid w:val="00FA0927"/>
    <w:rsid w:val="00FA17B2"/>
    <w:rsid w:val="00FA1FD9"/>
    <w:rsid w:val="00FA2BFF"/>
    <w:rsid w:val="00FA416B"/>
    <w:rsid w:val="00FA47B3"/>
    <w:rsid w:val="00FA51C2"/>
    <w:rsid w:val="00FA5C3D"/>
    <w:rsid w:val="00FA687C"/>
    <w:rsid w:val="00FA72D4"/>
    <w:rsid w:val="00FA7CAC"/>
    <w:rsid w:val="00FB0C05"/>
    <w:rsid w:val="00FB20C0"/>
    <w:rsid w:val="00FB2F25"/>
    <w:rsid w:val="00FB39FF"/>
    <w:rsid w:val="00FB3ADB"/>
    <w:rsid w:val="00FB44CA"/>
    <w:rsid w:val="00FB4B99"/>
    <w:rsid w:val="00FB59E4"/>
    <w:rsid w:val="00FB63E4"/>
    <w:rsid w:val="00FC01CD"/>
    <w:rsid w:val="00FC0245"/>
    <w:rsid w:val="00FC0311"/>
    <w:rsid w:val="00FC11E9"/>
    <w:rsid w:val="00FC1994"/>
    <w:rsid w:val="00FC1C21"/>
    <w:rsid w:val="00FC2200"/>
    <w:rsid w:val="00FC23F1"/>
    <w:rsid w:val="00FC2D8A"/>
    <w:rsid w:val="00FC3A3F"/>
    <w:rsid w:val="00FC3B25"/>
    <w:rsid w:val="00FC43B8"/>
    <w:rsid w:val="00FC5043"/>
    <w:rsid w:val="00FC5452"/>
    <w:rsid w:val="00FC692E"/>
    <w:rsid w:val="00FC692F"/>
    <w:rsid w:val="00FC6970"/>
    <w:rsid w:val="00FC6A0C"/>
    <w:rsid w:val="00FC74BF"/>
    <w:rsid w:val="00FC7C45"/>
    <w:rsid w:val="00FD00DC"/>
    <w:rsid w:val="00FD08AF"/>
    <w:rsid w:val="00FD21D5"/>
    <w:rsid w:val="00FD26C4"/>
    <w:rsid w:val="00FD404F"/>
    <w:rsid w:val="00FD4A91"/>
    <w:rsid w:val="00FD77DA"/>
    <w:rsid w:val="00FE05EF"/>
    <w:rsid w:val="00FE30C9"/>
    <w:rsid w:val="00FE4E69"/>
    <w:rsid w:val="00FE52FE"/>
    <w:rsid w:val="00FE5CD9"/>
    <w:rsid w:val="00FE64FD"/>
    <w:rsid w:val="00FE7D8F"/>
    <w:rsid w:val="00FF0044"/>
    <w:rsid w:val="00FF0D18"/>
    <w:rsid w:val="00FF2343"/>
    <w:rsid w:val="00FF2986"/>
    <w:rsid w:val="00FF4435"/>
    <w:rsid w:val="00FF44DE"/>
    <w:rsid w:val="00FF50FF"/>
    <w:rsid w:val="00FF6023"/>
    <w:rsid w:val="010F1DAE"/>
    <w:rsid w:val="01557C53"/>
    <w:rsid w:val="015A445D"/>
    <w:rsid w:val="015E0F50"/>
    <w:rsid w:val="01AB0904"/>
    <w:rsid w:val="01B464A4"/>
    <w:rsid w:val="01E21263"/>
    <w:rsid w:val="02256A89"/>
    <w:rsid w:val="025409E3"/>
    <w:rsid w:val="026B46FA"/>
    <w:rsid w:val="027C5214"/>
    <w:rsid w:val="02906F11"/>
    <w:rsid w:val="02A05FD7"/>
    <w:rsid w:val="02BF3266"/>
    <w:rsid w:val="02DE274B"/>
    <w:rsid w:val="02E255E3"/>
    <w:rsid w:val="02E61D12"/>
    <w:rsid w:val="02ED0507"/>
    <w:rsid w:val="02F70D3E"/>
    <w:rsid w:val="03432227"/>
    <w:rsid w:val="03722553"/>
    <w:rsid w:val="03B3036D"/>
    <w:rsid w:val="03B9645A"/>
    <w:rsid w:val="03C6678E"/>
    <w:rsid w:val="03F56FBD"/>
    <w:rsid w:val="03F60FF6"/>
    <w:rsid w:val="042E69D0"/>
    <w:rsid w:val="0436496C"/>
    <w:rsid w:val="04585FDD"/>
    <w:rsid w:val="047D2891"/>
    <w:rsid w:val="04B50A47"/>
    <w:rsid w:val="04CA5C84"/>
    <w:rsid w:val="04E27034"/>
    <w:rsid w:val="04EC2E01"/>
    <w:rsid w:val="05094D59"/>
    <w:rsid w:val="0511699E"/>
    <w:rsid w:val="053225D4"/>
    <w:rsid w:val="054E309D"/>
    <w:rsid w:val="05584CCF"/>
    <w:rsid w:val="0581676B"/>
    <w:rsid w:val="058B0F58"/>
    <w:rsid w:val="05B62ED6"/>
    <w:rsid w:val="05E62780"/>
    <w:rsid w:val="062749A5"/>
    <w:rsid w:val="062A6F2E"/>
    <w:rsid w:val="063C6333"/>
    <w:rsid w:val="064237F1"/>
    <w:rsid w:val="06642628"/>
    <w:rsid w:val="067C40FB"/>
    <w:rsid w:val="069676A3"/>
    <w:rsid w:val="069A586B"/>
    <w:rsid w:val="06A47DA9"/>
    <w:rsid w:val="06BD5E23"/>
    <w:rsid w:val="06D673A1"/>
    <w:rsid w:val="06E15C47"/>
    <w:rsid w:val="06ED2498"/>
    <w:rsid w:val="07124C61"/>
    <w:rsid w:val="071D480B"/>
    <w:rsid w:val="07EF4852"/>
    <w:rsid w:val="080D2061"/>
    <w:rsid w:val="083B7807"/>
    <w:rsid w:val="083E7300"/>
    <w:rsid w:val="08690D70"/>
    <w:rsid w:val="08697B3B"/>
    <w:rsid w:val="08B55272"/>
    <w:rsid w:val="091C7B24"/>
    <w:rsid w:val="092E53D0"/>
    <w:rsid w:val="093057EF"/>
    <w:rsid w:val="09C27688"/>
    <w:rsid w:val="09CB082F"/>
    <w:rsid w:val="09ED6A94"/>
    <w:rsid w:val="0A07015A"/>
    <w:rsid w:val="0A0E7DE9"/>
    <w:rsid w:val="0A3207BF"/>
    <w:rsid w:val="0A4A529C"/>
    <w:rsid w:val="0A8E47C7"/>
    <w:rsid w:val="0A966DD3"/>
    <w:rsid w:val="0AB14792"/>
    <w:rsid w:val="0AB766C6"/>
    <w:rsid w:val="0AE86877"/>
    <w:rsid w:val="0AF81AF7"/>
    <w:rsid w:val="0AFD383D"/>
    <w:rsid w:val="0B100859"/>
    <w:rsid w:val="0B13148D"/>
    <w:rsid w:val="0B261C02"/>
    <w:rsid w:val="0B3133D7"/>
    <w:rsid w:val="0B326519"/>
    <w:rsid w:val="0B3568A8"/>
    <w:rsid w:val="0B3F6708"/>
    <w:rsid w:val="0B5962AB"/>
    <w:rsid w:val="0B704743"/>
    <w:rsid w:val="0BAC2334"/>
    <w:rsid w:val="0C0D5B36"/>
    <w:rsid w:val="0C177D5B"/>
    <w:rsid w:val="0C7260B6"/>
    <w:rsid w:val="0C7974DD"/>
    <w:rsid w:val="0C845A22"/>
    <w:rsid w:val="0CA06937"/>
    <w:rsid w:val="0CCD4B00"/>
    <w:rsid w:val="0CD61879"/>
    <w:rsid w:val="0CEF5F4F"/>
    <w:rsid w:val="0D4D4C60"/>
    <w:rsid w:val="0D573E49"/>
    <w:rsid w:val="0D5B5FED"/>
    <w:rsid w:val="0D6D652C"/>
    <w:rsid w:val="0D786CB8"/>
    <w:rsid w:val="0D790D73"/>
    <w:rsid w:val="0D991370"/>
    <w:rsid w:val="0DBF4B4E"/>
    <w:rsid w:val="0DC9208D"/>
    <w:rsid w:val="0DDF391D"/>
    <w:rsid w:val="0DFA0943"/>
    <w:rsid w:val="0E0C088A"/>
    <w:rsid w:val="0E0F5C90"/>
    <w:rsid w:val="0E2301A2"/>
    <w:rsid w:val="0E3648BA"/>
    <w:rsid w:val="0E482EAD"/>
    <w:rsid w:val="0E6064F2"/>
    <w:rsid w:val="0E6F56AB"/>
    <w:rsid w:val="0E940D65"/>
    <w:rsid w:val="0ECA573F"/>
    <w:rsid w:val="0EF81F18"/>
    <w:rsid w:val="0F0331A2"/>
    <w:rsid w:val="0F1957F5"/>
    <w:rsid w:val="0F2C2286"/>
    <w:rsid w:val="0F3C6CF4"/>
    <w:rsid w:val="0F511AD9"/>
    <w:rsid w:val="0F5307AB"/>
    <w:rsid w:val="0F59485F"/>
    <w:rsid w:val="0F60784B"/>
    <w:rsid w:val="0F646B34"/>
    <w:rsid w:val="0FC1229B"/>
    <w:rsid w:val="0FC80397"/>
    <w:rsid w:val="0FD77049"/>
    <w:rsid w:val="0FDD337E"/>
    <w:rsid w:val="0FE10DED"/>
    <w:rsid w:val="0FE31E38"/>
    <w:rsid w:val="10012780"/>
    <w:rsid w:val="102E1CAF"/>
    <w:rsid w:val="105D5439"/>
    <w:rsid w:val="10747BF8"/>
    <w:rsid w:val="109D6BB6"/>
    <w:rsid w:val="10A36E9D"/>
    <w:rsid w:val="10B709DD"/>
    <w:rsid w:val="10FC3202"/>
    <w:rsid w:val="11073FC9"/>
    <w:rsid w:val="111B384E"/>
    <w:rsid w:val="11384269"/>
    <w:rsid w:val="11513497"/>
    <w:rsid w:val="115E5DC7"/>
    <w:rsid w:val="119A04FC"/>
    <w:rsid w:val="11B23A24"/>
    <w:rsid w:val="11C76C08"/>
    <w:rsid w:val="12006AD1"/>
    <w:rsid w:val="121A67F7"/>
    <w:rsid w:val="12523D57"/>
    <w:rsid w:val="12534D6C"/>
    <w:rsid w:val="125E08C9"/>
    <w:rsid w:val="126C5EA2"/>
    <w:rsid w:val="12742108"/>
    <w:rsid w:val="128922FB"/>
    <w:rsid w:val="12B91835"/>
    <w:rsid w:val="12BE6FCA"/>
    <w:rsid w:val="12C81DAF"/>
    <w:rsid w:val="12CE47AD"/>
    <w:rsid w:val="12F63374"/>
    <w:rsid w:val="13235554"/>
    <w:rsid w:val="135D2F9D"/>
    <w:rsid w:val="1372137D"/>
    <w:rsid w:val="13750B18"/>
    <w:rsid w:val="13846407"/>
    <w:rsid w:val="138F6415"/>
    <w:rsid w:val="13C13042"/>
    <w:rsid w:val="13C86A5A"/>
    <w:rsid w:val="13EE540E"/>
    <w:rsid w:val="13F86399"/>
    <w:rsid w:val="13F95501"/>
    <w:rsid w:val="140F4FB8"/>
    <w:rsid w:val="141A3874"/>
    <w:rsid w:val="143C7C35"/>
    <w:rsid w:val="144150B0"/>
    <w:rsid w:val="144638D4"/>
    <w:rsid w:val="144F2E15"/>
    <w:rsid w:val="14942FB1"/>
    <w:rsid w:val="14AB7A41"/>
    <w:rsid w:val="14CD4718"/>
    <w:rsid w:val="14FE41AE"/>
    <w:rsid w:val="153C360E"/>
    <w:rsid w:val="154256DE"/>
    <w:rsid w:val="154871D8"/>
    <w:rsid w:val="1557292D"/>
    <w:rsid w:val="155D1A12"/>
    <w:rsid w:val="156945CE"/>
    <w:rsid w:val="157B0A69"/>
    <w:rsid w:val="15872D7A"/>
    <w:rsid w:val="15A46840"/>
    <w:rsid w:val="15A515BE"/>
    <w:rsid w:val="15B15C94"/>
    <w:rsid w:val="15B30AF5"/>
    <w:rsid w:val="15DD178E"/>
    <w:rsid w:val="15EE4223"/>
    <w:rsid w:val="15F83C9A"/>
    <w:rsid w:val="163B0AEA"/>
    <w:rsid w:val="164A7231"/>
    <w:rsid w:val="166401D7"/>
    <w:rsid w:val="166C27CC"/>
    <w:rsid w:val="168C007F"/>
    <w:rsid w:val="16A976EB"/>
    <w:rsid w:val="16C84231"/>
    <w:rsid w:val="16C8759F"/>
    <w:rsid w:val="16FA01C3"/>
    <w:rsid w:val="17040717"/>
    <w:rsid w:val="177C1AA0"/>
    <w:rsid w:val="17850B74"/>
    <w:rsid w:val="178E402A"/>
    <w:rsid w:val="17EC1B91"/>
    <w:rsid w:val="17F2356C"/>
    <w:rsid w:val="17FE6806"/>
    <w:rsid w:val="185F1E0C"/>
    <w:rsid w:val="18C0614A"/>
    <w:rsid w:val="18C36EE8"/>
    <w:rsid w:val="18D70F9E"/>
    <w:rsid w:val="18DC5B79"/>
    <w:rsid w:val="190726E1"/>
    <w:rsid w:val="196A1A95"/>
    <w:rsid w:val="19931F20"/>
    <w:rsid w:val="19AD2A3C"/>
    <w:rsid w:val="19AE61A3"/>
    <w:rsid w:val="19C53FF0"/>
    <w:rsid w:val="19D918FD"/>
    <w:rsid w:val="19F210D5"/>
    <w:rsid w:val="1A0C111B"/>
    <w:rsid w:val="1A65114D"/>
    <w:rsid w:val="1A6A035C"/>
    <w:rsid w:val="1A9E4737"/>
    <w:rsid w:val="1AC131FC"/>
    <w:rsid w:val="1B3C639F"/>
    <w:rsid w:val="1B493568"/>
    <w:rsid w:val="1B9D67DA"/>
    <w:rsid w:val="1B9F4591"/>
    <w:rsid w:val="1BA07F7D"/>
    <w:rsid w:val="1BB87AF6"/>
    <w:rsid w:val="1C085701"/>
    <w:rsid w:val="1C1C0A36"/>
    <w:rsid w:val="1C3078C2"/>
    <w:rsid w:val="1C3412F2"/>
    <w:rsid w:val="1C452BF6"/>
    <w:rsid w:val="1C4C57FF"/>
    <w:rsid w:val="1C6B54D1"/>
    <w:rsid w:val="1C735482"/>
    <w:rsid w:val="1C742A8F"/>
    <w:rsid w:val="1C7A50CF"/>
    <w:rsid w:val="1CBD494F"/>
    <w:rsid w:val="1CD75939"/>
    <w:rsid w:val="1D0B398C"/>
    <w:rsid w:val="1D357B51"/>
    <w:rsid w:val="1D57551E"/>
    <w:rsid w:val="1D5E590F"/>
    <w:rsid w:val="1D695302"/>
    <w:rsid w:val="1D736E98"/>
    <w:rsid w:val="1DE65425"/>
    <w:rsid w:val="1DEE3904"/>
    <w:rsid w:val="1E0F09A3"/>
    <w:rsid w:val="1E1B472E"/>
    <w:rsid w:val="1E342F51"/>
    <w:rsid w:val="1E4E2FCE"/>
    <w:rsid w:val="1E5A2074"/>
    <w:rsid w:val="1E6F6248"/>
    <w:rsid w:val="1E7344DE"/>
    <w:rsid w:val="1E9811D0"/>
    <w:rsid w:val="1E9956E0"/>
    <w:rsid w:val="1EA778FF"/>
    <w:rsid w:val="1F250268"/>
    <w:rsid w:val="1F39674A"/>
    <w:rsid w:val="1F4A4824"/>
    <w:rsid w:val="1F7275BF"/>
    <w:rsid w:val="1F985EC1"/>
    <w:rsid w:val="1FB23392"/>
    <w:rsid w:val="1FB50614"/>
    <w:rsid w:val="1FC97A08"/>
    <w:rsid w:val="204333BD"/>
    <w:rsid w:val="20482859"/>
    <w:rsid w:val="205429BF"/>
    <w:rsid w:val="20605D1D"/>
    <w:rsid w:val="207B20BE"/>
    <w:rsid w:val="20DB4458"/>
    <w:rsid w:val="20E53644"/>
    <w:rsid w:val="20E83750"/>
    <w:rsid w:val="20F057CA"/>
    <w:rsid w:val="21082554"/>
    <w:rsid w:val="21185810"/>
    <w:rsid w:val="217A696B"/>
    <w:rsid w:val="21894BF1"/>
    <w:rsid w:val="219928A9"/>
    <w:rsid w:val="21B172CA"/>
    <w:rsid w:val="21B51557"/>
    <w:rsid w:val="21C61D8A"/>
    <w:rsid w:val="21C85710"/>
    <w:rsid w:val="21CD572E"/>
    <w:rsid w:val="21D031BB"/>
    <w:rsid w:val="21E6353C"/>
    <w:rsid w:val="22011A90"/>
    <w:rsid w:val="220F68CF"/>
    <w:rsid w:val="221B5A4C"/>
    <w:rsid w:val="221E77C8"/>
    <w:rsid w:val="222D6B4A"/>
    <w:rsid w:val="223236E9"/>
    <w:rsid w:val="223F7D6C"/>
    <w:rsid w:val="22486B10"/>
    <w:rsid w:val="22721A3F"/>
    <w:rsid w:val="228800BB"/>
    <w:rsid w:val="229F12B9"/>
    <w:rsid w:val="22C4484B"/>
    <w:rsid w:val="22E46637"/>
    <w:rsid w:val="22FA1654"/>
    <w:rsid w:val="23041BF6"/>
    <w:rsid w:val="231A2C28"/>
    <w:rsid w:val="231D24E3"/>
    <w:rsid w:val="23213E80"/>
    <w:rsid w:val="232743A9"/>
    <w:rsid w:val="232A4AF9"/>
    <w:rsid w:val="23401DAE"/>
    <w:rsid w:val="234E6880"/>
    <w:rsid w:val="23517AE7"/>
    <w:rsid w:val="23752161"/>
    <w:rsid w:val="237F01C7"/>
    <w:rsid w:val="23801C44"/>
    <w:rsid w:val="23911AAB"/>
    <w:rsid w:val="23ED0047"/>
    <w:rsid w:val="23FC3D08"/>
    <w:rsid w:val="240E755F"/>
    <w:rsid w:val="24391133"/>
    <w:rsid w:val="24602295"/>
    <w:rsid w:val="248442F4"/>
    <w:rsid w:val="24935D7C"/>
    <w:rsid w:val="24A823E0"/>
    <w:rsid w:val="24C9000A"/>
    <w:rsid w:val="24D437B9"/>
    <w:rsid w:val="24EE1B49"/>
    <w:rsid w:val="250A13F7"/>
    <w:rsid w:val="25116A70"/>
    <w:rsid w:val="253D1389"/>
    <w:rsid w:val="25595D5F"/>
    <w:rsid w:val="256D0A87"/>
    <w:rsid w:val="259E2A81"/>
    <w:rsid w:val="25C33489"/>
    <w:rsid w:val="25E0514D"/>
    <w:rsid w:val="26147202"/>
    <w:rsid w:val="261D5E88"/>
    <w:rsid w:val="26261CCC"/>
    <w:rsid w:val="26286ECA"/>
    <w:rsid w:val="263D52DC"/>
    <w:rsid w:val="26756888"/>
    <w:rsid w:val="26924756"/>
    <w:rsid w:val="26992A5C"/>
    <w:rsid w:val="26C03072"/>
    <w:rsid w:val="26D60A89"/>
    <w:rsid w:val="26E00754"/>
    <w:rsid w:val="26ED1D1A"/>
    <w:rsid w:val="26FB67A0"/>
    <w:rsid w:val="26FD09E1"/>
    <w:rsid w:val="27174E82"/>
    <w:rsid w:val="272214D0"/>
    <w:rsid w:val="273F13B1"/>
    <w:rsid w:val="27575D7C"/>
    <w:rsid w:val="2758227C"/>
    <w:rsid w:val="27747B4E"/>
    <w:rsid w:val="27C32B5F"/>
    <w:rsid w:val="27CE3456"/>
    <w:rsid w:val="27EE3C0E"/>
    <w:rsid w:val="27F136FF"/>
    <w:rsid w:val="281573ED"/>
    <w:rsid w:val="28301B12"/>
    <w:rsid w:val="28341FBE"/>
    <w:rsid w:val="28371DCF"/>
    <w:rsid w:val="287A42CC"/>
    <w:rsid w:val="28D01566"/>
    <w:rsid w:val="290C0E18"/>
    <w:rsid w:val="2913644E"/>
    <w:rsid w:val="292A5A6A"/>
    <w:rsid w:val="293818B8"/>
    <w:rsid w:val="29504D39"/>
    <w:rsid w:val="295301AF"/>
    <w:rsid w:val="296E6A01"/>
    <w:rsid w:val="297A2D81"/>
    <w:rsid w:val="298B7486"/>
    <w:rsid w:val="29A92BAE"/>
    <w:rsid w:val="29B406B9"/>
    <w:rsid w:val="29D940D2"/>
    <w:rsid w:val="29DB6414"/>
    <w:rsid w:val="2A073DC3"/>
    <w:rsid w:val="2A1B146D"/>
    <w:rsid w:val="2A1B7B36"/>
    <w:rsid w:val="2A1C41F8"/>
    <w:rsid w:val="2A3E54AC"/>
    <w:rsid w:val="2A632D5E"/>
    <w:rsid w:val="2A75037D"/>
    <w:rsid w:val="2A816FBC"/>
    <w:rsid w:val="2AAD37AB"/>
    <w:rsid w:val="2ABF1892"/>
    <w:rsid w:val="2ADC41F2"/>
    <w:rsid w:val="2AE31A25"/>
    <w:rsid w:val="2B5D5153"/>
    <w:rsid w:val="2B6E51BB"/>
    <w:rsid w:val="2B73076F"/>
    <w:rsid w:val="2B7A0E2A"/>
    <w:rsid w:val="2B817D9A"/>
    <w:rsid w:val="2B8C657A"/>
    <w:rsid w:val="2BC46A8B"/>
    <w:rsid w:val="2BF0400F"/>
    <w:rsid w:val="2C127C79"/>
    <w:rsid w:val="2C1B4F90"/>
    <w:rsid w:val="2C26535A"/>
    <w:rsid w:val="2C324A12"/>
    <w:rsid w:val="2C4D1955"/>
    <w:rsid w:val="2C563806"/>
    <w:rsid w:val="2C5925A0"/>
    <w:rsid w:val="2C5961FB"/>
    <w:rsid w:val="2C7D508E"/>
    <w:rsid w:val="2C8D26FC"/>
    <w:rsid w:val="2C9144F5"/>
    <w:rsid w:val="2CA311BC"/>
    <w:rsid w:val="2CE20D45"/>
    <w:rsid w:val="2CE21987"/>
    <w:rsid w:val="2CFF3CD9"/>
    <w:rsid w:val="2D2A393B"/>
    <w:rsid w:val="2D305100"/>
    <w:rsid w:val="2D91465A"/>
    <w:rsid w:val="2DBA58CB"/>
    <w:rsid w:val="2DBD29B8"/>
    <w:rsid w:val="2DC52091"/>
    <w:rsid w:val="2DDC3620"/>
    <w:rsid w:val="2DDD4E0E"/>
    <w:rsid w:val="2DE81387"/>
    <w:rsid w:val="2E3652E0"/>
    <w:rsid w:val="2E382087"/>
    <w:rsid w:val="2E5E743E"/>
    <w:rsid w:val="2E6814D5"/>
    <w:rsid w:val="2E6B0AE9"/>
    <w:rsid w:val="2E742C43"/>
    <w:rsid w:val="2E8379D1"/>
    <w:rsid w:val="2E89343E"/>
    <w:rsid w:val="2E944975"/>
    <w:rsid w:val="2EC12B21"/>
    <w:rsid w:val="2EC847E1"/>
    <w:rsid w:val="2F4300FD"/>
    <w:rsid w:val="2F463CD3"/>
    <w:rsid w:val="2F63618B"/>
    <w:rsid w:val="2F8D28C0"/>
    <w:rsid w:val="2FBA03B4"/>
    <w:rsid w:val="2FC008A1"/>
    <w:rsid w:val="2FDA2CBD"/>
    <w:rsid w:val="2FF6382E"/>
    <w:rsid w:val="300C7FA5"/>
    <w:rsid w:val="3012497E"/>
    <w:rsid w:val="306A0ACC"/>
    <w:rsid w:val="307F5D4C"/>
    <w:rsid w:val="30870974"/>
    <w:rsid w:val="309F1F4A"/>
    <w:rsid w:val="30BB32E3"/>
    <w:rsid w:val="30C21D18"/>
    <w:rsid w:val="30F3215D"/>
    <w:rsid w:val="315F792B"/>
    <w:rsid w:val="318B0720"/>
    <w:rsid w:val="31A537E9"/>
    <w:rsid w:val="31AE0EAD"/>
    <w:rsid w:val="31B45EC9"/>
    <w:rsid w:val="31B47C77"/>
    <w:rsid w:val="31B5579D"/>
    <w:rsid w:val="31B851A3"/>
    <w:rsid w:val="31C01939"/>
    <w:rsid w:val="31C84906"/>
    <w:rsid w:val="31ED3BE9"/>
    <w:rsid w:val="31FE7A0E"/>
    <w:rsid w:val="322A1CE7"/>
    <w:rsid w:val="322F72FD"/>
    <w:rsid w:val="327E089A"/>
    <w:rsid w:val="329E368E"/>
    <w:rsid w:val="32C40DE3"/>
    <w:rsid w:val="330A7E42"/>
    <w:rsid w:val="330C763F"/>
    <w:rsid w:val="332A6E14"/>
    <w:rsid w:val="333B437F"/>
    <w:rsid w:val="3352653E"/>
    <w:rsid w:val="33572723"/>
    <w:rsid w:val="33723946"/>
    <w:rsid w:val="33936BD9"/>
    <w:rsid w:val="33952A8B"/>
    <w:rsid w:val="33EF7C1A"/>
    <w:rsid w:val="33F7184B"/>
    <w:rsid w:val="34002AA6"/>
    <w:rsid w:val="342B3748"/>
    <w:rsid w:val="342D4260"/>
    <w:rsid w:val="346E662A"/>
    <w:rsid w:val="347317A4"/>
    <w:rsid w:val="34771E6C"/>
    <w:rsid w:val="34871673"/>
    <w:rsid w:val="34B363E5"/>
    <w:rsid w:val="34DF7449"/>
    <w:rsid w:val="34E85A01"/>
    <w:rsid w:val="35203B7D"/>
    <w:rsid w:val="35492DCC"/>
    <w:rsid w:val="35535E6C"/>
    <w:rsid w:val="3575771D"/>
    <w:rsid w:val="35A54198"/>
    <w:rsid w:val="35B87265"/>
    <w:rsid w:val="35C36951"/>
    <w:rsid w:val="35D9396F"/>
    <w:rsid w:val="35E9062C"/>
    <w:rsid w:val="36070B36"/>
    <w:rsid w:val="361D72AE"/>
    <w:rsid w:val="36211653"/>
    <w:rsid w:val="362221C8"/>
    <w:rsid w:val="362D7793"/>
    <w:rsid w:val="363D4BC4"/>
    <w:rsid w:val="3641047D"/>
    <w:rsid w:val="36485CC0"/>
    <w:rsid w:val="36637EBD"/>
    <w:rsid w:val="3688266D"/>
    <w:rsid w:val="36A905E9"/>
    <w:rsid w:val="37153E00"/>
    <w:rsid w:val="37160A8C"/>
    <w:rsid w:val="3719373D"/>
    <w:rsid w:val="3761004D"/>
    <w:rsid w:val="37712166"/>
    <w:rsid w:val="378A66EA"/>
    <w:rsid w:val="379420E4"/>
    <w:rsid w:val="37C1000A"/>
    <w:rsid w:val="37E9174A"/>
    <w:rsid w:val="38071BB6"/>
    <w:rsid w:val="3822163C"/>
    <w:rsid w:val="382471D8"/>
    <w:rsid w:val="38274524"/>
    <w:rsid w:val="38366810"/>
    <w:rsid w:val="3838667D"/>
    <w:rsid w:val="38390ED6"/>
    <w:rsid w:val="38477A29"/>
    <w:rsid w:val="38521F98"/>
    <w:rsid w:val="385A49D9"/>
    <w:rsid w:val="385D05C2"/>
    <w:rsid w:val="38686BC5"/>
    <w:rsid w:val="386D4562"/>
    <w:rsid w:val="38805F70"/>
    <w:rsid w:val="389A6926"/>
    <w:rsid w:val="38AA06D8"/>
    <w:rsid w:val="38BE766B"/>
    <w:rsid w:val="38C018C7"/>
    <w:rsid w:val="38D429AD"/>
    <w:rsid w:val="38D4493E"/>
    <w:rsid w:val="38DB20AB"/>
    <w:rsid w:val="38DE61DB"/>
    <w:rsid w:val="393339A4"/>
    <w:rsid w:val="393E5CC8"/>
    <w:rsid w:val="396F3A28"/>
    <w:rsid w:val="3993331A"/>
    <w:rsid w:val="39C37CFE"/>
    <w:rsid w:val="39C771D4"/>
    <w:rsid w:val="39D87235"/>
    <w:rsid w:val="3A087A55"/>
    <w:rsid w:val="3A2675E5"/>
    <w:rsid w:val="3A2A4F7A"/>
    <w:rsid w:val="3A7379F5"/>
    <w:rsid w:val="3A8D5E79"/>
    <w:rsid w:val="3A991258"/>
    <w:rsid w:val="3AAA3D0A"/>
    <w:rsid w:val="3AB276AE"/>
    <w:rsid w:val="3AD123B3"/>
    <w:rsid w:val="3ADA194B"/>
    <w:rsid w:val="3B253D5A"/>
    <w:rsid w:val="3B29353A"/>
    <w:rsid w:val="3B2C2F74"/>
    <w:rsid w:val="3B321781"/>
    <w:rsid w:val="3B442FF7"/>
    <w:rsid w:val="3B5A10E4"/>
    <w:rsid w:val="3B5B79D8"/>
    <w:rsid w:val="3B786527"/>
    <w:rsid w:val="3B9110B0"/>
    <w:rsid w:val="3BA1119B"/>
    <w:rsid w:val="3BA34367"/>
    <w:rsid w:val="3BAA7E0F"/>
    <w:rsid w:val="3BB87D98"/>
    <w:rsid w:val="3BBB6C79"/>
    <w:rsid w:val="3BF6391D"/>
    <w:rsid w:val="3C201699"/>
    <w:rsid w:val="3C310A59"/>
    <w:rsid w:val="3C344673"/>
    <w:rsid w:val="3C6A15F6"/>
    <w:rsid w:val="3CB020B3"/>
    <w:rsid w:val="3CB8636D"/>
    <w:rsid w:val="3CDA411D"/>
    <w:rsid w:val="3CF20D84"/>
    <w:rsid w:val="3D0033F8"/>
    <w:rsid w:val="3D0E42A5"/>
    <w:rsid w:val="3D1556EA"/>
    <w:rsid w:val="3D335BA4"/>
    <w:rsid w:val="3D3F549B"/>
    <w:rsid w:val="3D5027E9"/>
    <w:rsid w:val="3D522A89"/>
    <w:rsid w:val="3D5D11C3"/>
    <w:rsid w:val="3D5F1732"/>
    <w:rsid w:val="3D9B02FA"/>
    <w:rsid w:val="3DA60820"/>
    <w:rsid w:val="3DC56B27"/>
    <w:rsid w:val="3DD4150C"/>
    <w:rsid w:val="3DD44C2C"/>
    <w:rsid w:val="3DDF1D13"/>
    <w:rsid w:val="3DF71617"/>
    <w:rsid w:val="3E473F20"/>
    <w:rsid w:val="3E7B37CB"/>
    <w:rsid w:val="3E8D4A0D"/>
    <w:rsid w:val="3EAE3E3D"/>
    <w:rsid w:val="3ECA7F76"/>
    <w:rsid w:val="3EDB2BF6"/>
    <w:rsid w:val="3EFE73A5"/>
    <w:rsid w:val="3F4C5F9D"/>
    <w:rsid w:val="3F742A0C"/>
    <w:rsid w:val="3F7D63D3"/>
    <w:rsid w:val="3F84512C"/>
    <w:rsid w:val="3FED6975"/>
    <w:rsid w:val="3FFE6A57"/>
    <w:rsid w:val="4003009B"/>
    <w:rsid w:val="40195D6D"/>
    <w:rsid w:val="40601B76"/>
    <w:rsid w:val="40662A84"/>
    <w:rsid w:val="406D45EF"/>
    <w:rsid w:val="407F3E9D"/>
    <w:rsid w:val="40E508C8"/>
    <w:rsid w:val="4100294F"/>
    <w:rsid w:val="4128073F"/>
    <w:rsid w:val="414A1EE1"/>
    <w:rsid w:val="4176378A"/>
    <w:rsid w:val="41890C8D"/>
    <w:rsid w:val="418F40F2"/>
    <w:rsid w:val="41DD19E9"/>
    <w:rsid w:val="41EC37EC"/>
    <w:rsid w:val="42357353"/>
    <w:rsid w:val="42364A7F"/>
    <w:rsid w:val="425B0B6F"/>
    <w:rsid w:val="42611755"/>
    <w:rsid w:val="426D7A31"/>
    <w:rsid w:val="428472A1"/>
    <w:rsid w:val="42850A8C"/>
    <w:rsid w:val="42881C50"/>
    <w:rsid w:val="42B26A40"/>
    <w:rsid w:val="42B463F6"/>
    <w:rsid w:val="42B60593"/>
    <w:rsid w:val="42C4266D"/>
    <w:rsid w:val="42DA3ADD"/>
    <w:rsid w:val="42E7186F"/>
    <w:rsid w:val="42F07CF9"/>
    <w:rsid w:val="43120CA1"/>
    <w:rsid w:val="432A6F0B"/>
    <w:rsid w:val="432B7CE8"/>
    <w:rsid w:val="43883B3C"/>
    <w:rsid w:val="438D290A"/>
    <w:rsid w:val="439416B6"/>
    <w:rsid w:val="44045B57"/>
    <w:rsid w:val="44245A21"/>
    <w:rsid w:val="442D4044"/>
    <w:rsid w:val="443A6EAC"/>
    <w:rsid w:val="44410344"/>
    <w:rsid w:val="4470451D"/>
    <w:rsid w:val="447B197D"/>
    <w:rsid w:val="44950AD0"/>
    <w:rsid w:val="44B36504"/>
    <w:rsid w:val="44B554DA"/>
    <w:rsid w:val="44C10585"/>
    <w:rsid w:val="44C31B73"/>
    <w:rsid w:val="44DD1A45"/>
    <w:rsid w:val="44DD5F56"/>
    <w:rsid w:val="45085EB8"/>
    <w:rsid w:val="4512006D"/>
    <w:rsid w:val="45203BD1"/>
    <w:rsid w:val="452C2BFC"/>
    <w:rsid w:val="453F1E21"/>
    <w:rsid w:val="454C2426"/>
    <w:rsid w:val="45511E7B"/>
    <w:rsid w:val="45795008"/>
    <w:rsid w:val="45813A95"/>
    <w:rsid w:val="458B0E76"/>
    <w:rsid w:val="45FC4415"/>
    <w:rsid w:val="4612725A"/>
    <w:rsid w:val="46280F1A"/>
    <w:rsid w:val="463A7008"/>
    <w:rsid w:val="469F32ED"/>
    <w:rsid w:val="46BC5EAB"/>
    <w:rsid w:val="46D56552"/>
    <w:rsid w:val="46F25071"/>
    <w:rsid w:val="470A3DB2"/>
    <w:rsid w:val="47465567"/>
    <w:rsid w:val="47494D08"/>
    <w:rsid w:val="47603BEE"/>
    <w:rsid w:val="47777B22"/>
    <w:rsid w:val="47A437BA"/>
    <w:rsid w:val="47B93097"/>
    <w:rsid w:val="47BA4746"/>
    <w:rsid w:val="47C91000"/>
    <w:rsid w:val="480500AB"/>
    <w:rsid w:val="48093B1A"/>
    <w:rsid w:val="48296208"/>
    <w:rsid w:val="483E3B5F"/>
    <w:rsid w:val="488A083D"/>
    <w:rsid w:val="48A76FAB"/>
    <w:rsid w:val="48AF64C2"/>
    <w:rsid w:val="48C4659A"/>
    <w:rsid w:val="48C60BBF"/>
    <w:rsid w:val="48C964CB"/>
    <w:rsid w:val="49296D45"/>
    <w:rsid w:val="493E5A12"/>
    <w:rsid w:val="498E6BA8"/>
    <w:rsid w:val="499E79E7"/>
    <w:rsid w:val="49AF2F60"/>
    <w:rsid w:val="49BF5AC0"/>
    <w:rsid w:val="49C0441B"/>
    <w:rsid w:val="49CD285C"/>
    <w:rsid w:val="49F160A3"/>
    <w:rsid w:val="49F929D3"/>
    <w:rsid w:val="49FC7FB5"/>
    <w:rsid w:val="4A7A6EA6"/>
    <w:rsid w:val="4AC47F15"/>
    <w:rsid w:val="4AC8795F"/>
    <w:rsid w:val="4ADF489C"/>
    <w:rsid w:val="4B18750D"/>
    <w:rsid w:val="4B1914DB"/>
    <w:rsid w:val="4B5F07FC"/>
    <w:rsid w:val="4B7C58A9"/>
    <w:rsid w:val="4B816426"/>
    <w:rsid w:val="4B9E7BDA"/>
    <w:rsid w:val="4BB47AC8"/>
    <w:rsid w:val="4BE40C55"/>
    <w:rsid w:val="4BEB00F6"/>
    <w:rsid w:val="4BEE338C"/>
    <w:rsid w:val="4BFE1C30"/>
    <w:rsid w:val="4C1B2975"/>
    <w:rsid w:val="4C4F6AC2"/>
    <w:rsid w:val="4C55613E"/>
    <w:rsid w:val="4C5C64FC"/>
    <w:rsid w:val="4CA06D0B"/>
    <w:rsid w:val="4CB62906"/>
    <w:rsid w:val="4CC05198"/>
    <w:rsid w:val="4CD33923"/>
    <w:rsid w:val="4CDE4E69"/>
    <w:rsid w:val="4CF939B9"/>
    <w:rsid w:val="4CFE01D0"/>
    <w:rsid w:val="4D10721E"/>
    <w:rsid w:val="4D384851"/>
    <w:rsid w:val="4D6D306D"/>
    <w:rsid w:val="4D8639CE"/>
    <w:rsid w:val="4DA40847"/>
    <w:rsid w:val="4DB172E0"/>
    <w:rsid w:val="4DD16BE1"/>
    <w:rsid w:val="4DD64D0F"/>
    <w:rsid w:val="4DE301F9"/>
    <w:rsid w:val="4DEF40B9"/>
    <w:rsid w:val="4E0A3A42"/>
    <w:rsid w:val="4E0B52A4"/>
    <w:rsid w:val="4E22110A"/>
    <w:rsid w:val="4E3512F3"/>
    <w:rsid w:val="4E3D7AB6"/>
    <w:rsid w:val="4E535042"/>
    <w:rsid w:val="4E6011B1"/>
    <w:rsid w:val="4E640A1C"/>
    <w:rsid w:val="4E872543"/>
    <w:rsid w:val="4EBF2BC2"/>
    <w:rsid w:val="4ECF0762"/>
    <w:rsid w:val="4F250EBB"/>
    <w:rsid w:val="4F273F6C"/>
    <w:rsid w:val="4F362E7D"/>
    <w:rsid w:val="4F6674BD"/>
    <w:rsid w:val="4FC14B2A"/>
    <w:rsid w:val="4FD66B92"/>
    <w:rsid w:val="50185AA9"/>
    <w:rsid w:val="50216394"/>
    <w:rsid w:val="5043249A"/>
    <w:rsid w:val="505B120A"/>
    <w:rsid w:val="50721338"/>
    <w:rsid w:val="50B41FD8"/>
    <w:rsid w:val="50C41513"/>
    <w:rsid w:val="50DB4ECC"/>
    <w:rsid w:val="51002945"/>
    <w:rsid w:val="511829CC"/>
    <w:rsid w:val="515011AF"/>
    <w:rsid w:val="516B652E"/>
    <w:rsid w:val="516D300D"/>
    <w:rsid w:val="5174786E"/>
    <w:rsid w:val="51E73C38"/>
    <w:rsid w:val="51EA5846"/>
    <w:rsid w:val="51EE3C0E"/>
    <w:rsid w:val="5241322F"/>
    <w:rsid w:val="525F7CCF"/>
    <w:rsid w:val="52642E81"/>
    <w:rsid w:val="52723B4B"/>
    <w:rsid w:val="527E5A0B"/>
    <w:rsid w:val="52A83D85"/>
    <w:rsid w:val="52CB5C12"/>
    <w:rsid w:val="52FB682B"/>
    <w:rsid w:val="53253F2E"/>
    <w:rsid w:val="53860E03"/>
    <w:rsid w:val="539807D1"/>
    <w:rsid w:val="539C4E73"/>
    <w:rsid w:val="53B4728A"/>
    <w:rsid w:val="53C03E02"/>
    <w:rsid w:val="54035C5F"/>
    <w:rsid w:val="542F5BB2"/>
    <w:rsid w:val="543D0CA7"/>
    <w:rsid w:val="54A47BBB"/>
    <w:rsid w:val="54AC3162"/>
    <w:rsid w:val="54AD4DF7"/>
    <w:rsid w:val="54AD5532"/>
    <w:rsid w:val="54BC2362"/>
    <w:rsid w:val="54C44DC0"/>
    <w:rsid w:val="54DC5279"/>
    <w:rsid w:val="54FE303C"/>
    <w:rsid w:val="54FE7676"/>
    <w:rsid w:val="55691F87"/>
    <w:rsid w:val="556C30A9"/>
    <w:rsid w:val="558248F9"/>
    <w:rsid w:val="5587447C"/>
    <w:rsid w:val="55AA6D22"/>
    <w:rsid w:val="55E42189"/>
    <w:rsid w:val="55E7080E"/>
    <w:rsid w:val="56082853"/>
    <w:rsid w:val="5609166F"/>
    <w:rsid w:val="563C6B4A"/>
    <w:rsid w:val="5655070D"/>
    <w:rsid w:val="567F300C"/>
    <w:rsid w:val="569E4919"/>
    <w:rsid w:val="569E79F6"/>
    <w:rsid w:val="569F2107"/>
    <w:rsid w:val="56AA7BC9"/>
    <w:rsid w:val="56C2784C"/>
    <w:rsid w:val="56EB4D6B"/>
    <w:rsid w:val="571871B2"/>
    <w:rsid w:val="57336BBA"/>
    <w:rsid w:val="57395B87"/>
    <w:rsid w:val="574900A3"/>
    <w:rsid w:val="575F4ABC"/>
    <w:rsid w:val="57667ADB"/>
    <w:rsid w:val="57703785"/>
    <w:rsid w:val="57AE6523"/>
    <w:rsid w:val="57CC437D"/>
    <w:rsid w:val="582D3BE8"/>
    <w:rsid w:val="58421289"/>
    <w:rsid w:val="585F21C4"/>
    <w:rsid w:val="58623D17"/>
    <w:rsid w:val="5868739D"/>
    <w:rsid w:val="588810E5"/>
    <w:rsid w:val="588F1630"/>
    <w:rsid w:val="58C3686E"/>
    <w:rsid w:val="58D27EA1"/>
    <w:rsid w:val="58FF2611"/>
    <w:rsid w:val="59061A6B"/>
    <w:rsid w:val="591E1CF6"/>
    <w:rsid w:val="59246BE1"/>
    <w:rsid w:val="5944693B"/>
    <w:rsid w:val="5946150F"/>
    <w:rsid w:val="59EF381C"/>
    <w:rsid w:val="5A0F4885"/>
    <w:rsid w:val="5A2D75A0"/>
    <w:rsid w:val="5A5F27E3"/>
    <w:rsid w:val="5A7A2726"/>
    <w:rsid w:val="5A7F3EC3"/>
    <w:rsid w:val="5AA8071D"/>
    <w:rsid w:val="5AE14D89"/>
    <w:rsid w:val="5AE40F3C"/>
    <w:rsid w:val="5B19334E"/>
    <w:rsid w:val="5B2B73B9"/>
    <w:rsid w:val="5B412C47"/>
    <w:rsid w:val="5B590DC3"/>
    <w:rsid w:val="5B5A0869"/>
    <w:rsid w:val="5B5E462C"/>
    <w:rsid w:val="5B6D31BC"/>
    <w:rsid w:val="5BCB0B78"/>
    <w:rsid w:val="5BDA52A8"/>
    <w:rsid w:val="5C0010A6"/>
    <w:rsid w:val="5C0A7499"/>
    <w:rsid w:val="5C2A6CE9"/>
    <w:rsid w:val="5C4C6B7A"/>
    <w:rsid w:val="5C5E7FBD"/>
    <w:rsid w:val="5C936505"/>
    <w:rsid w:val="5CAA6999"/>
    <w:rsid w:val="5CBB551E"/>
    <w:rsid w:val="5CC901CB"/>
    <w:rsid w:val="5CF53970"/>
    <w:rsid w:val="5CF75CB0"/>
    <w:rsid w:val="5D0D75D0"/>
    <w:rsid w:val="5D1B13AE"/>
    <w:rsid w:val="5D731D58"/>
    <w:rsid w:val="5D7C58C6"/>
    <w:rsid w:val="5D82607B"/>
    <w:rsid w:val="5D836D91"/>
    <w:rsid w:val="5D881E34"/>
    <w:rsid w:val="5DB16202"/>
    <w:rsid w:val="5DB81E80"/>
    <w:rsid w:val="5E3F0004"/>
    <w:rsid w:val="5E5F1263"/>
    <w:rsid w:val="5E7A79CF"/>
    <w:rsid w:val="5E944001"/>
    <w:rsid w:val="5EE24435"/>
    <w:rsid w:val="5EF57055"/>
    <w:rsid w:val="5F11430B"/>
    <w:rsid w:val="5F6F57C3"/>
    <w:rsid w:val="5F8E783D"/>
    <w:rsid w:val="5FD60C6A"/>
    <w:rsid w:val="5FDF7830"/>
    <w:rsid w:val="5FE264C0"/>
    <w:rsid w:val="602A5424"/>
    <w:rsid w:val="6052255B"/>
    <w:rsid w:val="605F17BC"/>
    <w:rsid w:val="60933422"/>
    <w:rsid w:val="609820D2"/>
    <w:rsid w:val="60985292"/>
    <w:rsid w:val="60B96D9C"/>
    <w:rsid w:val="60BF0B1F"/>
    <w:rsid w:val="60E61849"/>
    <w:rsid w:val="60EF682F"/>
    <w:rsid w:val="61162F67"/>
    <w:rsid w:val="61311F63"/>
    <w:rsid w:val="614A5D86"/>
    <w:rsid w:val="61743376"/>
    <w:rsid w:val="61924533"/>
    <w:rsid w:val="61954B1F"/>
    <w:rsid w:val="61AD3C17"/>
    <w:rsid w:val="61F1500F"/>
    <w:rsid w:val="6205198E"/>
    <w:rsid w:val="624838F6"/>
    <w:rsid w:val="62572D67"/>
    <w:rsid w:val="62624DE3"/>
    <w:rsid w:val="62637205"/>
    <w:rsid w:val="62CF7748"/>
    <w:rsid w:val="62D6404A"/>
    <w:rsid w:val="631B6C5C"/>
    <w:rsid w:val="631D2213"/>
    <w:rsid w:val="63526D73"/>
    <w:rsid w:val="63784339"/>
    <w:rsid w:val="63791297"/>
    <w:rsid w:val="63AC082C"/>
    <w:rsid w:val="63B06434"/>
    <w:rsid w:val="63B90EB7"/>
    <w:rsid w:val="63CF05C2"/>
    <w:rsid w:val="63F12FC9"/>
    <w:rsid w:val="6409421F"/>
    <w:rsid w:val="64367B29"/>
    <w:rsid w:val="643949D6"/>
    <w:rsid w:val="643B071F"/>
    <w:rsid w:val="64415413"/>
    <w:rsid w:val="644779C4"/>
    <w:rsid w:val="645B4D75"/>
    <w:rsid w:val="646E38AE"/>
    <w:rsid w:val="64855D9C"/>
    <w:rsid w:val="64A83361"/>
    <w:rsid w:val="64AC2E27"/>
    <w:rsid w:val="65301256"/>
    <w:rsid w:val="65441F08"/>
    <w:rsid w:val="65C21C5B"/>
    <w:rsid w:val="65D206E8"/>
    <w:rsid w:val="65F15F89"/>
    <w:rsid w:val="663A0391"/>
    <w:rsid w:val="66703465"/>
    <w:rsid w:val="66746169"/>
    <w:rsid w:val="667C56F4"/>
    <w:rsid w:val="66814051"/>
    <w:rsid w:val="668B07D8"/>
    <w:rsid w:val="669F3DEC"/>
    <w:rsid w:val="66CA143D"/>
    <w:rsid w:val="66DA0D03"/>
    <w:rsid w:val="6703252B"/>
    <w:rsid w:val="670E0594"/>
    <w:rsid w:val="671D1C6A"/>
    <w:rsid w:val="67544A39"/>
    <w:rsid w:val="677B5F7C"/>
    <w:rsid w:val="67A10BA4"/>
    <w:rsid w:val="67A66016"/>
    <w:rsid w:val="67A7391E"/>
    <w:rsid w:val="67C93BDA"/>
    <w:rsid w:val="67DB076F"/>
    <w:rsid w:val="67E1461B"/>
    <w:rsid w:val="680B5B3B"/>
    <w:rsid w:val="68105EE5"/>
    <w:rsid w:val="68126E04"/>
    <w:rsid w:val="682D73E5"/>
    <w:rsid w:val="683177C0"/>
    <w:rsid w:val="68676E80"/>
    <w:rsid w:val="687734F2"/>
    <w:rsid w:val="68921DB9"/>
    <w:rsid w:val="68B74AC0"/>
    <w:rsid w:val="68BE495C"/>
    <w:rsid w:val="68E32854"/>
    <w:rsid w:val="69270F3A"/>
    <w:rsid w:val="693B7D5A"/>
    <w:rsid w:val="693E4B52"/>
    <w:rsid w:val="69537A7E"/>
    <w:rsid w:val="69584C81"/>
    <w:rsid w:val="69951F07"/>
    <w:rsid w:val="69D81D9A"/>
    <w:rsid w:val="69DB2BE5"/>
    <w:rsid w:val="69FE2257"/>
    <w:rsid w:val="6A10414B"/>
    <w:rsid w:val="6A30212C"/>
    <w:rsid w:val="6A403C84"/>
    <w:rsid w:val="6A44028B"/>
    <w:rsid w:val="6A470C3D"/>
    <w:rsid w:val="6A4B7E96"/>
    <w:rsid w:val="6A4C55BC"/>
    <w:rsid w:val="6A4E7C22"/>
    <w:rsid w:val="6A7E3978"/>
    <w:rsid w:val="6AC30136"/>
    <w:rsid w:val="6AE97801"/>
    <w:rsid w:val="6B1E264C"/>
    <w:rsid w:val="6B3C6C4B"/>
    <w:rsid w:val="6B441910"/>
    <w:rsid w:val="6B544835"/>
    <w:rsid w:val="6B701193"/>
    <w:rsid w:val="6B741366"/>
    <w:rsid w:val="6BC73041"/>
    <w:rsid w:val="6BD46F7A"/>
    <w:rsid w:val="6C230C9C"/>
    <w:rsid w:val="6C2942A7"/>
    <w:rsid w:val="6C920694"/>
    <w:rsid w:val="6CB96CEE"/>
    <w:rsid w:val="6CC938C8"/>
    <w:rsid w:val="6CD46261"/>
    <w:rsid w:val="6CE1568D"/>
    <w:rsid w:val="6CE16785"/>
    <w:rsid w:val="6CFA3C74"/>
    <w:rsid w:val="6D051BC9"/>
    <w:rsid w:val="6D643024"/>
    <w:rsid w:val="6D6F2489"/>
    <w:rsid w:val="6D722CD1"/>
    <w:rsid w:val="6D7A5318"/>
    <w:rsid w:val="6D821D11"/>
    <w:rsid w:val="6D9E52B4"/>
    <w:rsid w:val="6DA23CBE"/>
    <w:rsid w:val="6DA512E9"/>
    <w:rsid w:val="6DAB4FF7"/>
    <w:rsid w:val="6DAF6F69"/>
    <w:rsid w:val="6DB874E1"/>
    <w:rsid w:val="6DD90B98"/>
    <w:rsid w:val="6DE83B41"/>
    <w:rsid w:val="6DEB098B"/>
    <w:rsid w:val="6E1A5A07"/>
    <w:rsid w:val="6E2F6632"/>
    <w:rsid w:val="6E3233F0"/>
    <w:rsid w:val="6E4C2A0A"/>
    <w:rsid w:val="6E804461"/>
    <w:rsid w:val="6EA32B2D"/>
    <w:rsid w:val="6EBA4054"/>
    <w:rsid w:val="6EC01732"/>
    <w:rsid w:val="6EC96925"/>
    <w:rsid w:val="6EFA18A8"/>
    <w:rsid w:val="6F3017E0"/>
    <w:rsid w:val="6F774B44"/>
    <w:rsid w:val="6FA31B8D"/>
    <w:rsid w:val="6FA40D1D"/>
    <w:rsid w:val="6FB72F86"/>
    <w:rsid w:val="6FDD2BF1"/>
    <w:rsid w:val="701B07A6"/>
    <w:rsid w:val="70217348"/>
    <w:rsid w:val="7040570B"/>
    <w:rsid w:val="706E6404"/>
    <w:rsid w:val="70A152C5"/>
    <w:rsid w:val="70A26856"/>
    <w:rsid w:val="70C1148D"/>
    <w:rsid w:val="70C8018A"/>
    <w:rsid w:val="70CD4D52"/>
    <w:rsid w:val="70D363DC"/>
    <w:rsid w:val="70F30069"/>
    <w:rsid w:val="70F64ED6"/>
    <w:rsid w:val="70F92299"/>
    <w:rsid w:val="70FB79EE"/>
    <w:rsid w:val="71091982"/>
    <w:rsid w:val="712A4799"/>
    <w:rsid w:val="71585EAE"/>
    <w:rsid w:val="715E15F9"/>
    <w:rsid w:val="7190605E"/>
    <w:rsid w:val="719866B8"/>
    <w:rsid w:val="719B654B"/>
    <w:rsid w:val="71AE23B7"/>
    <w:rsid w:val="71F421C3"/>
    <w:rsid w:val="71FA20B6"/>
    <w:rsid w:val="7208459C"/>
    <w:rsid w:val="721470EE"/>
    <w:rsid w:val="72303324"/>
    <w:rsid w:val="72477770"/>
    <w:rsid w:val="72FD5757"/>
    <w:rsid w:val="730B4790"/>
    <w:rsid w:val="730E4732"/>
    <w:rsid w:val="732B2AA0"/>
    <w:rsid w:val="733D5DD6"/>
    <w:rsid w:val="735275BC"/>
    <w:rsid w:val="737568F2"/>
    <w:rsid w:val="73814A3C"/>
    <w:rsid w:val="73E20E52"/>
    <w:rsid w:val="73FB010C"/>
    <w:rsid w:val="73FF760E"/>
    <w:rsid w:val="74143849"/>
    <w:rsid w:val="7426624F"/>
    <w:rsid w:val="743E6263"/>
    <w:rsid w:val="746D76BD"/>
    <w:rsid w:val="74770F2A"/>
    <w:rsid w:val="747A7341"/>
    <w:rsid w:val="747C0E96"/>
    <w:rsid w:val="74BB20D6"/>
    <w:rsid w:val="74C0380A"/>
    <w:rsid w:val="74D673CE"/>
    <w:rsid w:val="74E95B98"/>
    <w:rsid w:val="74F40243"/>
    <w:rsid w:val="74FE7C75"/>
    <w:rsid w:val="75280683"/>
    <w:rsid w:val="755D56D7"/>
    <w:rsid w:val="757F2DBF"/>
    <w:rsid w:val="75815CBA"/>
    <w:rsid w:val="75A130CE"/>
    <w:rsid w:val="75AE1DBB"/>
    <w:rsid w:val="75E34125"/>
    <w:rsid w:val="75FF51C9"/>
    <w:rsid w:val="76123DC7"/>
    <w:rsid w:val="76571AF5"/>
    <w:rsid w:val="765E6BE4"/>
    <w:rsid w:val="766B1266"/>
    <w:rsid w:val="76771926"/>
    <w:rsid w:val="769650B1"/>
    <w:rsid w:val="76980727"/>
    <w:rsid w:val="76C70E7F"/>
    <w:rsid w:val="76D91290"/>
    <w:rsid w:val="76F97BE0"/>
    <w:rsid w:val="770025E3"/>
    <w:rsid w:val="7717493B"/>
    <w:rsid w:val="773E2D21"/>
    <w:rsid w:val="77A11B57"/>
    <w:rsid w:val="77AF325B"/>
    <w:rsid w:val="77B173C1"/>
    <w:rsid w:val="77C23EC4"/>
    <w:rsid w:val="77DC4DFE"/>
    <w:rsid w:val="77EA60E1"/>
    <w:rsid w:val="77EB46F2"/>
    <w:rsid w:val="78025860"/>
    <w:rsid w:val="784B1C3A"/>
    <w:rsid w:val="78593E71"/>
    <w:rsid w:val="78832030"/>
    <w:rsid w:val="78886760"/>
    <w:rsid w:val="7896787C"/>
    <w:rsid w:val="78C71B2C"/>
    <w:rsid w:val="795421CD"/>
    <w:rsid w:val="795C3B1C"/>
    <w:rsid w:val="795E5AF1"/>
    <w:rsid w:val="796E28C4"/>
    <w:rsid w:val="79EB4BBC"/>
    <w:rsid w:val="79F93CF8"/>
    <w:rsid w:val="7A3E3F1A"/>
    <w:rsid w:val="7A41514B"/>
    <w:rsid w:val="7A7353BF"/>
    <w:rsid w:val="7A74539C"/>
    <w:rsid w:val="7AE27758"/>
    <w:rsid w:val="7B0A71AE"/>
    <w:rsid w:val="7B265617"/>
    <w:rsid w:val="7B3665D4"/>
    <w:rsid w:val="7B590905"/>
    <w:rsid w:val="7B5B5A52"/>
    <w:rsid w:val="7B60607C"/>
    <w:rsid w:val="7BAE230F"/>
    <w:rsid w:val="7BB77E0B"/>
    <w:rsid w:val="7BF5002F"/>
    <w:rsid w:val="7C231D1C"/>
    <w:rsid w:val="7C2D2210"/>
    <w:rsid w:val="7C3A1619"/>
    <w:rsid w:val="7C5F1B5A"/>
    <w:rsid w:val="7C7E77F2"/>
    <w:rsid w:val="7CB60904"/>
    <w:rsid w:val="7CB72DCB"/>
    <w:rsid w:val="7CBA2C4F"/>
    <w:rsid w:val="7CC35417"/>
    <w:rsid w:val="7CD26006"/>
    <w:rsid w:val="7CD86494"/>
    <w:rsid w:val="7D4836C9"/>
    <w:rsid w:val="7DA150B5"/>
    <w:rsid w:val="7DA360E3"/>
    <w:rsid w:val="7DCF393D"/>
    <w:rsid w:val="7DD43300"/>
    <w:rsid w:val="7E3F2C13"/>
    <w:rsid w:val="7E3F769A"/>
    <w:rsid w:val="7E79454D"/>
    <w:rsid w:val="7E883224"/>
    <w:rsid w:val="7E8C196E"/>
    <w:rsid w:val="7EB245BA"/>
    <w:rsid w:val="7EBB4B1F"/>
    <w:rsid w:val="7EC5031D"/>
    <w:rsid w:val="7EDA68C3"/>
    <w:rsid w:val="7EEA7160"/>
    <w:rsid w:val="7EFB720E"/>
    <w:rsid w:val="7F0B1615"/>
    <w:rsid w:val="7F1C3D32"/>
    <w:rsid w:val="7F3071EF"/>
    <w:rsid w:val="7F3E1862"/>
    <w:rsid w:val="7F446011"/>
    <w:rsid w:val="7F4B5E99"/>
    <w:rsid w:val="7F7973D7"/>
    <w:rsid w:val="7F901080"/>
    <w:rsid w:val="7F937A87"/>
    <w:rsid w:val="7FA51F7A"/>
    <w:rsid w:val="7FA53D28"/>
    <w:rsid w:val="7FB571B5"/>
    <w:rsid w:val="7FCD3F9B"/>
    <w:rsid w:val="7FD9398D"/>
    <w:rsid w:val="7FDB02EB"/>
    <w:rsid w:val="7FF111E0"/>
    <w:rsid w:val="7FF97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ocked="1"/>
    <w:lsdException w:qFormat="1" w:uiPriority="0" w:name="heading 5" w:locked="1"/>
    <w:lsdException w:qFormat="1" w:uiPriority="0" w:name="heading 6" w:locked="1"/>
    <w:lsdException w:qFormat="1" w:unhideWhenUsed="0" w:uiPriority="1" w:semiHidden="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sdException w:qFormat="1" w:unhideWhenUsed="0" w:uiPriority="0" w:semiHidden="0" w:name="endnote reference" w:locked="1"/>
    <w:lsdException w:qFormat="1"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99" w:semiHidden="0" w:name="Hyperlink"/>
    <w:lsdException w:qFormat="1" w:unhideWhenUsed="0" w:uiPriority="0" w:semiHidden="0" w:name="FollowedHyperlink" w:locked="1"/>
    <w:lsdException w:qFormat="1" w:unhideWhenUsed="0" w:uiPriority="0" w:semiHidden="0" w:name="Strong"/>
    <w:lsdException w:qFormat="1" w:unhideWhenUsed="0" w:uiPriority="0" w:semiHidden="0" w:name="Emphasis" w:locked="1"/>
    <w:lsdException w:qFormat="1" w:unhideWhenUsed="0" w:uiPriority="0" w:semiHidden="0" w:name="Document Map"/>
    <w:lsdException w:qFormat="1" w:unhideWhenUsed="0" w:uiPriority="0" w:semiHidden="0" w:name="Plain Text"/>
    <w:lsdException w:unhideWhenUsed="0" w:uiPriority="0" w:semiHidden="0" w:name="E-mail Signature" w:locked="1"/>
    <w:lsdException w:qFormat="1" w:unhideWhenUsed="0" w:uiPriority="99"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qFormat="1" w:unhideWhenUsed="0" w:uiPriority="0" w:semiHidden="0" w:name="HTML Typewriter" w:locked="1"/>
    <w:lsdException w:qFormat="1"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54"/>
    <w:autoRedefine/>
    <w:qFormat/>
    <w:uiPriority w:val="0"/>
    <w:pPr>
      <w:keepNext/>
      <w:keepLines/>
      <w:spacing w:before="340" w:after="330" w:line="576" w:lineRule="auto"/>
      <w:outlineLvl w:val="0"/>
    </w:pPr>
    <w:rPr>
      <w:b/>
      <w:kern w:val="44"/>
      <w:sz w:val="20"/>
    </w:rPr>
  </w:style>
  <w:style w:type="paragraph" w:styleId="4">
    <w:name w:val="heading 2"/>
    <w:basedOn w:val="1"/>
    <w:next w:val="1"/>
    <w:link w:val="55"/>
    <w:autoRedefine/>
    <w:qFormat/>
    <w:uiPriority w:val="0"/>
    <w:pPr>
      <w:keepNext/>
      <w:keepLines/>
      <w:spacing w:before="260" w:after="260" w:line="416" w:lineRule="auto"/>
      <w:outlineLvl w:val="1"/>
    </w:pPr>
    <w:rPr>
      <w:rFonts w:ascii="Cambria" w:hAnsi="Cambria"/>
      <w:b/>
      <w:kern w:val="0"/>
      <w:sz w:val="32"/>
    </w:rPr>
  </w:style>
  <w:style w:type="paragraph" w:styleId="5">
    <w:name w:val="heading 3"/>
    <w:basedOn w:val="1"/>
    <w:next w:val="1"/>
    <w:link w:val="56"/>
    <w:autoRedefine/>
    <w:qFormat/>
    <w:uiPriority w:val="0"/>
    <w:pPr>
      <w:keepNext/>
      <w:keepLines/>
      <w:spacing w:before="260" w:after="260" w:line="413" w:lineRule="auto"/>
      <w:outlineLvl w:val="2"/>
    </w:pPr>
    <w:rPr>
      <w:b/>
      <w:kern w:val="0"/>
      <w:sz w:val="20"/>
    </w:rPr>
  </w:style>
  <w:style w:type="paragraph" w:styleId="6">
    <w:name w:val="heading 4"/>
    <w:basedOn w:val="1"/>
    <w:next w:val="1"/>
    <w:link w:val="57"/>
    <w:autoRedefine/>
    <w:qFormat/>
    <w:locked/>
    <w:uiPriority w:val="0"/>
    <w:pPr>
      <w:keepNext/>
      <w:keepLines/>
      <w:spacing w:before="280" w:after="290" w:line="376" w:lineRule="auto"/>
      <w:outlineLvl w:val="3"/>
    </w:pPr>
    <w:rPr>
      <w:rFonts w:ascii="Calibri Light" w:hAnsi="Calibri Light"/>
      <w:b/>
      <w:sz w:val="28"/>
    </w:rPr>
  </w:style>
  <w:style w:type="paragraph" w:styleId="7">
    <w:name w:val="heading 7"/>
    <w:basedOn w:val="1"/>
    <w:next w:val="1"/>
    <w:autoRedefine/>
    <w:qFormat/>
    <w:locked/>
    <w:uiPriority w:val="1"/>
    <w:pPr>
      <w:ind w:left="653"/>
      <w:outlineLvl w:val="6"/>
    </w:pPr>
    <w:rPr>
      <w:rFonts w:ascii="宋体" w:hAnsi="宋体" w:cs="宋体"/>
      <w:b/>
      <w:bCs/>
      <w:sz w:val="24"/>
      <w:szCs w:val="24"/>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0"/>
    <w:autoRedefine/>
    <w:qFormat/>
    <w:locked/>
    <w:uiPriority w:val="0"/>
    <w:rPr>
      <w:kern w:val="0"/>
      <w:sz w:val="20"/>
    </w:rPr>
  </w:style>
  <w:style w:type="paragraph" w:styleId="8">
    <w:name w:val="toc 7"/>
    <w:basedOn w:val="1"/>
    <w:next w:val="1"/>
    <w:autoRedefine/>
    <w:qFormat/>
    <w:locked/>
    <w:uiPriority w:val="39"/>
    <w:pPr>
      <w:ind w:left="2520" w:leftChars="1200"/>
    </w:pPr>
    <w:rPr>
      <w:szCs w:val="24"/>
    </w:rPr>
  </w:style>
  <w:style w:type="paragraph" w:styleId="9">
    <w:name w:val="Normal Indent"/>
    <w:basedOn w:val="1"/>
    <w:autoRedefine/>
    <w:qFormat/>
    <w:locked/>
    <w:uiPriority w:val="0"/>
    <w:pPr>
      <w:ind w:firstLine="420"/>
    </w:pPr>
    <w:rPr>
      <w:szCs w:val="24"/>
    </w:rPr>
  </w:style>
  <w:style w:type="paragraph" w:styleId="10">
    <w:name w:val="Document Map"/>
    <w:basedOn w:val="1"/>
    <w:link w:val="58"/>
    <w:autoRedefine/>
    <w:qFormat/>
    <w:uiPriority w:val="0"/>
    <w:rPr>
      <w:rFonts w:ascii="宋体"/>
      <w:sz w:val="18"/>
    </w:rPr>
  </w:style>
  <w:style w:type="paragraph" w:styleId="11">
    <w:name w:val="annotation text"/>
    <w:basedOn w:val="1"/>
    <w:link w:val="59"/>
    <w:autoRedefine/>
    <w:qFormat/>
    <w:uiPriority w:val="0"/>
    <w:pPr>
      <w:jc w:val="left"/>
    </w:pPr>
  </w:style>
  <w:style w:type="paragraph" w:styleId="12">
    <w:name w:val="Body Text Indent"/>
    <w:basedOn w:val="1"/>
    <w:link w:val="61"/>
    <w:autoRedefine/>
    <w:qFormat/>
    <w:uiPriority w:val="0"/>
    <w:pPr>
      <w:spacing w:after="120"/>
      <w:ind w:left="420" w:leftChars="200"/>
    </w:pPr>
    <w:rPr>
      <w:kern w:val="0"/>
      <w:sz w:val="20"/>
    </w:rPr>
  </w:style>
  <w:style w:type="paragraph" w:styleId="13">
    <w:name w:val="toc 5"/>
    <w:basedOn w:val="1"/>
    <w:next w:val="1"/>
    <w:autoRedefine/>
    <w:qFormat/>
    <w:locked/>
    <w:uiPriority w:val="39"/>
    <w:pPr>
      <w:ind w:left="1680" w:leftChars="800"/>
    </w:pPr>
    <w:rPr>
      <w:szCs w:val="24"/>
    </w:rPr>
  </w:style>
  <w:style w:type="paragraph" w:styleId="14">
    <w:name w:val="toc 3"/>
    <w:basedOn w:val="1"/>
    <w:next w:val="1"/>
    <w:autoRedefine/>
    <w:qFormat/>
    <w:locked/>
    <w:uiPriority w:val="39"/>
    <w:pPr>
      <w:ind w:left="840" w:leftChars="400"/>
    </w:pPr>
    <w:rPr>
      <w:szCs w:val="24"/>
    </w:rPr>
  </w:style>
  <w:style w:type="paragraph" w:styleId="15">
    <w:name w:val="Plain Text"/>
    <w:basedOn w:val="1"/>
    <w:link w:val="62"/>
    <w:autoRedefine/>
    <w:qFormat/>
    <w:uiPriority w:val="0"/>
    <w:rPr>
      <w:rFonts w:ascii="宋体" w:hAnsi="Courier New"/>
    </w:rPr>
  </w:style>
  <w:style w:type="paragraph" w:styleId="16">
    <w:name w:val="toc 8"/>
    <w:basedOn w:val="1"/>
    <w:next w:val="1"/>
    <w:autoRedefine/>
    <w:qFormat/>
    <w:locked/>
    <w:uiPriority w:val="39"/>
    <w:pPr>
      <w:ind w:left="2940" w:leftChars="1400"/>
    </w:pPr>
    <w:rPr>
      <w:szCs w:val="24"/>
    </w:rPr>
  </w:style>
  <w:style w:type="paragraph" w:styleId="17">
    <w:name w:val="Date"/>
    <w:basedOn w:val="1"/>
    <w:next w:val="1"/>
    <w:link w:val="63"/>
    <w:autoRedefine/>
    <w:qFormat/>
    <w:uiPriority w:val="0"/>
    <w:pPr>
      <w:ind w:left="100" w:leftChars="2500"/>
    </w:pPr>
    <w:rPr>
      <w:sz w:val="24"/>
      <w:szCs w:val="24"/>
    </w:rPr>
  </w:style>
  <w:style w:type="paragraph" w:styleId="18">
    <w:name w:val="Body Text Indent 2"/>
    <w:basedOn w:val="1"/>
    <w:autoRedefine/>
    <w:qFormat/>
    <w:locked/>
    <w:uiPriority w:val="0"/>
    <w:pPr>
      <w:ind w:left="-540" w:leftChars="-257" w:firstLine="435"/>
      <w:jc w:val="left"/>
    </w:pPr>
    <w:rPr>
      <w:rFonts w:ascii="仿宋_GB2312" w:eastAsia="仿宋_GB2312"/>
      <w:sz w:val="24"/>
    </w:rPr>
  </w:style>
  <w:style w:type="paragraph" w:styleId="19">
    <w:name w:val="endnote text"/>
    <w:basedOn w:val="1"/>
    <w:link w:val="64"/>
    <w:autoRedefine/>
    <w:qFormat/>
    <w:locked/>
    <w:uiPriority w:val="0"/>
    <w:pPr>
      <w:snapToGrid w:val="0"/>
      <w:jc w:val="left"/>
    </w:pPr>
    <w:rPr>
      <w:rFonts w:ascii="Calibri" w:hAnsi="Calibri"/>
      <w:kern w:val="0"/>
      <w:sz w:val="24"/>
      <w:szCs w:val="24"/>
    </w:rPr>
  </w:style>
  <w:style w:type="paragraph" w:styleId="20">
    <w:name w:val="Balloon Text"/>
    <w:basedOn w:val="1"/>
    <w:link w:val="65"/>
    <w:autoRedefine/>
    <w:qFormat/>
    <w:uiPriority w:val="0"/>
    <w:rPr>
      <w:sz w:val="18"/>
      <w:szCs w:val="18"/>
    </w:rPr>
  </w:style>
  <w:style w:type="paragraph" w:styleId="21">
    <w:name w:val="footer"/>
    <w:basedOn w:val="1"/>
    <w:link w:val="66"/>
    <w:autoRedefine/>
    <w:qFormat/>
    <w:uiPriority w:val="0"/>
    <w:pPr>
      <w:tabs>
        <w:tab w:val="center" w:pos="4153"/>
        <w:tab w:val="right" w:pos="8306"/>
      </w:tabs>
      <w:snapToGrid w:val="0"/>
      <w:jc w:val="left"/>
    </w:pPr>
    <w:rPr>
      <w:kern w:val="0"/>
      <w:sz w:val="18"/>
    </w:rPr>
  </w:style>
  <w:style w:type="paragraph" w:styleId="22">
    <w:name w:val="header"/>
    <w:basedOn w:val="1"/>
    <w:link w:val="67"/>
    <w:autoRedefine/>
    <w:qFormat/>
    <w:uiPriority w:val="0"/>
    <w:pPr>
      <w:pBdr>
        <w:bottom w:val="single" w:color="auto" w:sz="6" w:space="1"/>
      </w:pBdr>
      <w:tabs>
        <w:tab w:val="center" w:pos="4153"/>
        <w:tab w:val="right" w:pos="8306"/>
      </w:tabs>
      <w:snapToGrid w:val="0"/>
      <w:jc w:val="center"/>
    </w:pPr>
    <w:rPr>
      <w:kern w:val="0"/>
      <w:sz w:val="18"/>
    </w:rPr>
  </w:style>
  <w:style w:type="paragraph" w:styleId="23">
    <w:name w:val="toc 1"/>
    <w:basedOn w:val="1"/>
    <w:next w:val="1"/>
    <w:autoRedefine/>
    <w:qFormat/>
    <w:locked/>
    <w:uiPriority w:val="39"/>
    <w:rPr>
      <w:szCs w:val="24"/>
    </w:rPr>
  </w:style>
  <w:style w:type="paragraph" w:styleId="24">
    <w:name w:val="toc 4"/>
    <w:basedOn w:val="1"/>
    <w:next w:val="1"/>
    <w:autoRedefine/>
    <w:qFormat/>
    <w:locked/>
    <w:uiPriority w:val="39"/>
    <w:pPr>
      <w:tabs>
        <w:tab w:val="right" w:leader="dot" w:pos="8296"/>
      </w:tabs>
      <w:snapToGrid w:val="0"/>
      <w:spacing w:line="360" w:lineRule="auto"/>
      <w:ind w:left="1260" w:leftChars="600"/>
    </w:pPr>
    <w:rPr>
      <w:rFonts w:ascii="宋体" w:hAnsi="宋体"/>
      <w:bCs/>
      <w:sz w:val="24"/>
      <w:szCs w:val="24"/>
    </w:rPr>
  </w:style>
  <w:style w:type="paragraph" w:styleId="25">
    <w:name w:val="Subtitle"/>
    <w:basedOn w:val="1"/>
    <w:next w:val="1"/>
    <w:link w:val="68"/>
    <w:autoRedefine/>
    <w:qFormat/>
    <w:locked/>
    <w:uiPriority w:val="0"/>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qFormat/>
    <w:locked/>
    <w:uiPriority w:val="39"/>
    <w:pPr>
      <w:ind w:left="2100" w:leftChars="1000"/>
    </w:pPr>
    <w:rPr>
      <w:szCs w:val="24"/>
    </w:rPr>
  </w:style>
  <w:style w:type="paragraph" w:styleId="27">
    <w:name w:val="Body Text Indent 3"/>
    <w:basedOn w:val="1"/>
    <w:link w:val="69"/>
    <w:autoRedefine/>
    <w:qFormat/>
    <w:locked/>
    <w:uiPriority w:val="0"/>
    <w:pPr>
      <w:spacing w:after="120"/>
      <w:ind w:left="420" w:leftChars="200"/>
    </w:pPr>
    <w:rPr>
      <w:kern w:val="0"/>
      <w:sz w:val="16"/>
      <w:szCs w:val="16"/>
    </w:rPr>
  </w:style>
  <w:style w:type="paragraph" w:styleId="28">
    <w:name w:val="toc 2"/>
    <w:basedOn w:val="1"/>
    <w:next w:val="1"/>
    <w:autoRedefine/>
    <w:qFormat/>
    <w:locked/>
    <w:uiPriority w:val="39"/>
    <w:pPr>
      <w:ind w:left="420" w:leftChars="200"/>
    </w:pPr>
    <w:rPr>
      <w:szCs w:val="24"/>
    </w:rPr>
  </w:style>
  <w:style w:type="paragraph" w:styleId="29">
    <w:name w:val="toc 9"/>
    <w:basedOn w:val="1"/>
    <w:next w:val="1"/>
    <w:autoRedefine/>
    <w:qFormat/>
    <w:locked/>
    <w:uiPriority w:val="39"/>
    <w:pPr>
      <w:ind w:left="3360" w:leftChars="1600"/>
    </w:pPr>
    <w:rPr>
      <w:szCs w:val="24"/>
    </w:rPr>
  </w:style>
  <w:style w:type="paragraph" w:styleId="30">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31">
    <w:name w:val="Title"/>
    <w:basedOn w:val="1"/>
    <w:next w:val="1"/>
    <w:link w:val="70"/>
    <w:autoRedefine/>
    <w:qFormat/>
    <w:uiPriority w:val="0"/>
    <w:pPr>
      <w:jc w:val="left"/>
      <w:outlineLvl w:val="1"/>
    </w:pPr>
    <w:rPr>
      <w:rFonts w:ascii="Calibri Light" w:hAnsi="Calibri Light"/>
      <w:b/>
      <w:bCs/>
      <w:color w:val="000000"/>
      <w:sz w:val="32"/>
      <w:szCs w:val="32"/>
    </w:rPr>
  </w:style>
  <w:style w:type="paragraph" w:styleId="32">
    <w:name w:val="annotation subject"/>
    <w:basedOn w:val="11"/>
    <w:next w:val="11"/>
    <w:link w:val="71"/>
    <w:autoRedefine/>
    <w:qFormat/>
    <w:uiPriority w:val="0"/>
    <w:pPr>
      <w:jc w:val="both"/>
    </w:pPr>
    <w:rPr>
      <w:b/>
      <w:bCs/>
      <w:sz w:val="20"/>
    </w:rPr>
  </w:style>
  <w:style w:type="paragraph" w:styleId="33">
    <w:name w:val="Body Text First Indent"/>
    <w:basedOn w:val="1"/>
    <w:qFormat/>
    <w:locked/>
    <w:uiPriority w:val="0"/>
    <w:pPr>
      <w:spacing w:after="120"/>
      <w:ind w:firstLine="420" w:firstLineChars="100"/>
    </w:pPr>
  </w:style>
  <w:style w:type="table" w:styleId="35">
    <w:name w:val="Table Grid"/>
    <w:basedOn w:val="34"/>
    <w:autoRedefine/>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rFonts w:cs="Times New Roman"/>
      <w:b/>
      <w:bCs/>
    </w:rPr>
  </w:style>
  <w:style w:type="character" w:styleId="38">
    <w:name w:val="endnote reference"/>
    <w:autoRedefine/>
    <w:qFormat/>
    <w:locked/>
    <w:uiPriority w:val="0"/>
    <w:rPr>
      <w:rFonts w:cs="Times New Roman"/>
      <w:vertAlign w:val="superscript"/>
    </w:rPr>
  </w:style>
  <w:style w:type="character" w:styleId="39">
    <w:name w:val="page number"/>
    <w:basedOn w:val="36"/>
    <w:autoRedefine/>
    <w:qFormat/>
    <w:uiPriority w:val="0"/>
    <w:rPr>
      <w:rFonts w:cs="Times New Roman"/>
    </w:rPr>
  </w:style>
  <w:style w:type="character" w:styleId="40">
    <w:name w:val="FollowedHyperlink"/>
    <w:autoRedefine/>
    <w:qFormat/>
    <w:locked/>
    <w:uiPriority w:val="0"/>
    <w:rPr>
      <w:rFonts w:cs="Times New Roman"/>
      <w:color w:val="800080"/>
      <w:u w:val="single"/>
    </w:rPr>
  </w:style>
  <w:style w:type="character" w:styleId="41">
    <w:name w:val="Emphasis"/>
    <w:autoRedefine/>
    <w:qFormat/>
    <w:locked/>
    <w:uiPriority w:val="0"/>
    <w:rPr>
      <w:b/>
    </w:rPr>
  </w:style>
  <w:style w:type="character" w:styleId="42">
    <w:name w:val="HTML Definition"/>
    <w:autoRedefine/>
    <w:qFormat/>
    <w:locked/>
    <w:uiPriority w:val="0"/>
  </w:style>
  <w:style w:type="character" w:styleId="43">
    <w:name w:val="HTML Typewriter"/>
    <w:autoRedefine/>
    <w:qFormat/>
    <w:locked/>
    <w:uiPriority w:val="0"/>
    <w:rPr>
      <w:rFonts w:hint="default" w:ascii="monospace" w:hAnsi="monospace" w:eastAsia="monospace" w:cs="monospace"/>
      <w:sz w:val="20"/>
    </w:rPr>
  </w:style>
  <w:style w:type="character" w:styleId="44">
    <w:name w:val="HTML Acronym"/>
    <w:basedOn w:val="36"/>
    <w:autoRedefine/>
    <w:qFormat/>
    <w:locked/>
    <w:uiPriority w:val="0"/>
  </w:style>
  <w:style w:type="character" w:styleId="45">
    <w:name w:val="HTML Variable"/>
    <w:autoRedefine/>
    <w:qFormat/>
    <w:locked/>
    <w:uiPriority w:val="0"/>
  </w:style>
  <w:style w:type="character" w:styleId="46">
    <w:name w:val="Hyperlink"/>
    <w:autoRedefine/>
    <w:qFormat/>
    <w:uiPriority w:val="99"/>
    <w:rPr>
      <w:rFonts w:cs="Times New Roman"/>
      <w:color w:val="0563C1"/>
      <w:u w:val="single"/>
    </w:rPr>
  </w:style>
  <w:style w:type="character" w:styleId="47">
    <w:name w:val="HTML Code"/>
    <w:autoRedefine/>
    <w:qFormat/>
    <w:locked/>
    <w:uiPriority w:val="0"/>
    <w:rPr>
      <w:rFonts w:hint="default" w:ascii="monospace" w:hAnsi="monospace" w:eastAsia="monospace" w:cs="monospace"/>
      <w:sz w:val="20"/>
    </w:rPr>
  </w:style>
  <w:style w:type="character" w:styleId="48">
    <w:name w:val="annotation reference"/>
    <w:autoRedefine/>
    <w:qFormat/>
    <w:uiPriority w:val="0"/>
    <w:rPr>
      <w:rFonts w:cs="Times New Roman"/>
      <w:sz w:val="21"/>
    </w:rPr>
  </w:style>
  <w:style w:type="character" w:styleId="49">
    <w:name w:val="HTML Cite"/>
    <w:autoRedefine/>
    <w:qFormat/>
    <w:locked/>
    <w:uiPriority w:val="0"/>
  </w:style>
  <w:style w:type="character" w:styleId="50">
    <w:name w:val="HTML Keyboard"/>
    <w:autoRedefine/>
    <w:qFormat/>
    <w:locked/>
    <w:uiPriority w:val="0"/>
    <w:rPr>
      <w:rFonts w:ascii="monospace" w:hAnsi="monospace" w:eastAsia="monospace" w:cs="monospace"/>
      <w:sz w:val="20"/>
    </w:rPr>
  </w:style>
  <w:style w:type="character" w:styleId="51">
    <w:name w:val="HTML Sample"/>
    <w:autoRedefine/>
    <w:qFormat/>
    <w:locked/>
    <w:uiPriority w:val="0"/>
    <w:rPr>
      <w:rFonts w:hint="default" w:ascii="monospace" w:hAnsi="monospace" w:eastAsia="monospace" w:cs="monospace"/>
    </w:rPr>
  </w:style>
  <w:style w:type="paragraph" w:customStyle="1" w:styleId="52">
    <w:name w:val="TOC Heading1"/>
    <w:basedOn w:val="3"/>
    <w:next w:val="1"/>
    <w:autoRedefine/>
    <w:qFormat/>
    <w:uiPriority w:val="99"/>
    <w:pPr>
      <w:widowControl/>
      <w:spacing w:before="480" w:line="276" w:lineRule="auto"/>
      <w:jc w:val="left"/>
      <w:outlineLvl w:val="9"/>
    </w:pPr>
    <w:rPr>
      <w:rFonts w:ascii="Cambria" w:hAnsi="Cambria"/>
      <w:color w:val="365F91"/>
      <w:kern w:val="0"/>
      <w:sz w:val="28"/>
      <w:szCs w:val="28"/>
      <w:lang w:eastAsia="en-US"/>
    </w:rPr>
  </w:style>
  <w:style w:type="paragraph" w:customStyle="1" w:styleId="53">
    <w:name w:val="首行缩进"/>
    <w:basedOn w:val="1"/>
    <w:autoRedefine/>
    <w:qFormat/>
    <w:uiPriority w:val="0"/>
    <w:pPr>
      <w:spacing w:line="580" w:lineRule="exact"/>
      <w:ind w:firstLine="560"/>
      <w:jc w:val="left"/>
    </w:pPr>
    <w:rPr>
      <w:rFonts w:ascii="宋体" w:hAnsi="宋体" w:cs="宋体"/>
      <w:spacing w:val="-7"/>
      <w:sz w:val="28"/>
      <w:szCs w:val="28"/>
      <w:u w:val="single"/>
    </w:rPr>
  </w:style>
  <w:style w:type="character" w:customStyle="1" w:styleId="54">
    <w:name w:val="标题 1 字符"/>
    <w:link w:val="3"/>
    <w:autoRedefine/>
    <w:qFormat/>
    <w:locked/>
    <w:uiPriority w:val="0"/>
    <w:rPr>
      <w:rFonts w:ascii="Times New Roman" w:hAnsi="Times New Roman" w:eastAsia="宋体" w:cs="Times New Roman"/>
      <w:b/>
      <w:kern w:val="44"/>
      <w:sz w:val="20"/>
    </w:rPr>
  </w:style>
  <w:style w:type="character" w:customStyle="1" w:styleId="55">
    <w:name w:val="标题 2 字符"/>
    <w:link w:val="4"/>
    <w:autoRedefine/>
    <w:qFormat/>
    <w:locked/>
    <w:uiPriority w:val="0"/>
    <w:rPr>
      <w:rFonts w:ascii="Cambria" w:hAnsi="Cambria" w:eastAsia="宋体" w:cs="Times New Roman"/>
      <w:b/>
      <w:sz w:val="32"/>
    </w:rPr>
  </w:style>
  <w:style w:type="character" w:customStyle="1" w:styleId="56">
    <w:name w:val="标题 3 字符"/>
    <w:link w:val="5"/>
    <w:autoRedefine/>
    <w:qFormat/>
    <w:locked/>
    <w:uiPriority w:val="0"/>
    <w:rPr>
      <w:rFonts w:ascii="Times New Roman" w:hAnsi="Times New Roman" w:eastAsia="宋体" w:cs="Times New Roman"/>
      <w:b/>
      <w:sz w:val="20"/>
    </w:rPr>
  </w:style>
  <w:style w:type="character" w:customStyle="1" w:styleId="57">
    <w:name w:val="标题 4 字符"/>
    <w:link w:val="6"/>
    <w:autoRedefine/>
    <w:qFormat/>
    <w:locked/>
    <w:uiPriority w:val="0"/>
    <w:rPr>
      <w:rFonts w:ascii="Calibri Light" w:hAnsi="Calibri Light" w:eastAsia="宋体"/>
      <w:b/>
      <w:kern w:val="2"/>
      <w:sz w:val="28"/>
      <w:lang w:val="en-US" w:eastAsia="zh-CN"/>
    </w:rPr>
  </w:style>
  <w:style w:type="character" w:customStyle="1" w:styleId="58">
    <w:name w:val="文档结构图 字符"/>
    <w:link w:val="10"/>
    <w:autoRedefine/>
    <w:qFormat/>
    <w:locked/>
    <w:uiPriority w:val="0"/>
    <w:rPr>
      <w:rFonts w:ascii="宋体"/>
      <w:kern w:val="2"/>
      <w:sz w:val="18"/>
    </w:rPr>
  </w:style>
  <w:style w:type="character" w:customStyle="1" w:styleId="59">
    <w:name w:val="批注文字 字符"/>
    <w:link w:val="11"/>
    <w:autoRedefine/>
    <w:semiHidden/>
    <w:qFormat/>
    <w:locked/>
    <w:uiPriority w:val="0"/>
    <w:rPr>
      <w:rFonts w:ascii="Times New Roman" w:hAnsi="Times New Roman" w:cs="Times New Roman"/>
      <w:kern w:val="2"/>
      <w:sz w:val="21"/>
    </w:rPr>
  </w:style>
  <w:style w:type="character" w:customStyle="1" w:styleId="60">
    <w:name w:val="正文文本 字符"/>
    <w:link w:val="2"/>
    <w:autoRedefine/>
    <w:qFormat/>
    <w:locked/>
    <w:uiPriority w:val="0"/>
    <w:rPr>
      <w:rFonts w:ascii="Times New Roman" w:hAnsi="Times New Roman" w:cs="Times New Roman"/>
      <w:sz w:val="20"/>
      <w:szCs w:val="20"/>
    </w:rPr>
  </w:style>
  <w:style w:type="character" w:customStyle="1" w:styleId="61">
    <w:name w:val="正文文本缩进 字符"/>
    <w:link w:val="12"/>
    <w:autoRedefine/>
    <w:qFormat/>
    <w:locked/>
    <w:uiPriority w:val="0"/>
    <w:rPr>
      <w:rFonts w:ascii="Times New Roman" w:hAnsi="Times New Roman" w:cs="Times New Roman"/>
      <w:sz w:val="20"/>
      <w:szCs w:val="20"/>
    </w:rPr>
  </w:style>
  <w:style w:type="character" w:customStyle="1" w:styleId="62">
    <w:name w:val="纯文本 字符"/>
    <w:link w:val="15"/>
    <w:autoRedefine/>
    <w:qFormat/>
    <w:locked/>
    <w:uiPriority w:val="0"/>
    <w:rPr>
      <w:rFonts w:ascii="宋体" w:hAnsi="Courier New" w:cs="Times New Roman"/>
      <w:kern w:val="2"/>
      <w:sz w:val="21"/>
    </w:rPr>
  </w:style>
  <w:style w:type="character" w:customStyle="1" w:styleId="63">
    <w:name w:val="日期 字符"/>
    <w:link w:val="17"/>
    <w:autoRedefine/>
    <w:qFormat/>
    <w:locked/>
    <w:uiPriority w:val="0"/>
    <w:rPr>
      <w:rFonts w:ascii="Times New Roman" w:hAnsi="Times New Roman" w:cs="Times New Roman"/>
      <w:kern w:val="2"/>
      <w:sz w:val="24"/>
      <w:szCs w:val="24"/>
    </w:rPr>
  </w:style>
  <w:style w:type="character" w:customStyle="1" w:styleId="64">
    <w:name w:val="尾注文本 字符"/>
    <w:link w:val="19"/>
    <w:autoRedefine/>
    <w:qFormat/>
    <w:locked/>
    <w:uiPriority w:val="0"/>
    <w:rPr>
      <w:rFonts w:ascii="Calibri" w:hAnsi="Calibri"/>
      <w:sz w:val="24"/>
      <w:szCs w:val="24"/>
    </w:rPr>
  </w:style>
  <w:style w:type="character" w:customStyle="1" w:styleId="65">
    <w:name w:val="批注框文本 字符"/>
    <w:link w:val="20"/>
    <w:autoRedefine/>
    <w:qFormat/>
    <w:locked/>
    <w:uiPriority w:val="0"/>
    <w:rPr>
      <w:rFonts w:ascii="Times New Roman" w:hAnsi="Times New Roman" w:cs="Times New Roman"/>
      <w:kern w:val="2"/>
      <w:sz w:val="18"/>
      <w:szCs w:val="18"/>
    </w:rPr>
  </w:style>
  <w:style w:type="character" w:customStyle="1" w:styleId="66">
    <w:name w:val="页脚 字符"/>
    <w:link w:val="21"/>
    <w:autoRedefine/>
    <w:qFormat/>
    <w:locked/>
    <w:uiPriority w:val="0"/>
    <w:rPr>
      <w:rFonts w:ascii="Times New Roman" w:hAnsi="Times New Roman" w:eastAsia="宋体" w:cs="Times New Roman"/>
      <w:sz w:val="18"/>
    </w:rPr>
  </w:style>
  <w:style w:type="character" w:customStyle="1" w:styleId="67">
    <w:name w:val="页眉 字符"/>
    <w:link w:val="22"/>
    <w:autoRedefine/>
    <w:qFormat/>
    <w:locked/>
    <w:uiPriority w:val="0"/>
    <w:rPr>
      <w:rFonts w:ascii="Times New Roman" w:hAnsi="Times New Roman" w:eastAsia="宋体" w:cs="Times New Roman"/>
      <w:sz w:val="18"/>
    </w:rPr>
  </w:style>
  <w:style w:type="character" w:customStyle="1" w:styleId="68">
    <w:name w:val="副标题 字符"/>
    <w:link w:val="25"/>
    <w:autoRedefine/>
    <w:qFormat/>
    <w:locked/>
    <w:uiPriority w:val="0"/>
    <w:rPr>
      <w:rFonts w:ascii="Cambria" w:hAnsi="Cambria" w:cs="Times New Roman"/>
      <w:b/>
      <w:bCs/>
      <w:kern w:val="28"/>
      <w:sz w:val="32"/>
      <w:szCs w:val="32"/>
    </w:rPr>
  </w:style>
  <w:style w:type="character" w:customStyle="1" w:styleId="69">
    <w:name w:val="正文文本缩进 3 字符"/>
    <w:link w:val="27"/>
    <w:autoRedefine/>
    <w:qFormat/>
    <w:locked/>
    <w:uiPriority w:val="0"/>
    <w:rPr>
      <w:rFonts w:ascii="Times New Roman" w:hAnsi="Times New Roman" w:cs="Times New Roman"/>
      <w:sz w:val="16"/>
      <w:szCs w:val="16"/>
    </w:rPr>
  </w:style>
  <w:style w:type="character" w:customStyle="1" w:styleId="70">
    <w:name w:val="标题 字符"/>
    <w:link w:val="31"/>
    <w:autoRedefine/>
    <w:qFormat/>
    <w:locked/>
    <w:uiPriority w:val="0"/>
    <w:rPr>
      <w:rFonts w:ascii="Calibri Light" w:hAnsi="Calibri Light" w:eastAsia="宋体" w:cs="Times New Roman"/>
      <w:b/>
      <w:bCs/>
      <w:color w:val="000000"/>
      <w:kern w:val="2"/>
      <w:sz w:val="32"/>
      <w:szCs w:val="32"/>
      <w:lang w:val="en-US" w:eastAsia="zh-CN" w:bidi="ar-SA"/>
    </w:rPr>
  </w:style>
  <w:style w:type="character" w:customStyle="1" w:styleId="71">
    <w:name w:val="批注主题 字符"/>
    <w:link w:val="32"/>
    <w:autoRedefine/>
    <w:qFormat/>
    <w:locked/>
    <w:uiPriority w:val="0"/>
    <w:rPr>
      <w:rFonts w:ascii="Times New Roman" w:hAnsi="Times New Roman" w:cs="Times New Roman"/>
      <w:b/>
      <w:bCs/>
      <w:kern w:val="2"/>
      <w:sz w:val="20"/>
      <w:szCs w:val="20"/>
    </w:rPr>
  </w:style>
  <w:style w:type="character" w:customStyle="1" w:styleId="72">
    <w:name w:val="apple-converted-space"/>
    <w:autoRedefine/>
    <w:qFormat/>
    <w:uiPriority w:val="0"/>
    <w:rPr>
      <w:rFonts w:cs="Times New Roman"/>
    </w:rPr>
  </w:style>
  <w:style w:type="character" w:customStyle="1" w:styleId="73">
    <w:name w:val="Body Text Indent 3 Char1"/>
    <w:autoRedefine/>
    <w:qFormat/>
    <w:locked/>
    <w:uiPriority w:val="0"/>
    <w:rPr>
      <w:kern w:val="2"/>
      <w:sz w:val="16"/>
    </w:rPr>
  </w:style>
  <w:style w:type="character" w:customStyle="1" w:styleId="74">
    <w:name w:val="Subtitle Char1"/>
    <w:autoRedefine/>
    <w:qFormat/>
    <w:locked/>
    <w:uiPriority w:val="0"/>
    <w:rPr>
      <w:rFonts w:ascii="Cambria" w:hAnsi="Cambria"/>
      <w:b/>
      <w:kern w:val="28"/>
      <w:sz w:val="32"/>
    </w:rPr>
  </w:style>
  <w:style w:type="character" w:customStyle="1" w:styleId="75">
    <w:name w:val="文档结构图 Char1"/>
    <w:autoRedefine/>
    <w:qFormat/>
    <w:locked/>
    <w:uiPriority w:val="0"/>
    <w:rPr>
      <w:rFonts w:ascii="宋体" w:hAnsi="Times New Roman" w:eastAsia="宋体" w:cs="Times New Roman"/>
      <w:sz w:val="18"/>
    </w:rPr>
  </w:style>
  <w:style w:type="character" w:customStyle="1" w:styleId="76">
    <w:name w:val="Body Text Char1"/>
    <w:autoRedefine/>
    <w:qFormat/>
    <w:locked/>
    <w:uiPriority w:val="0"/>
    <w:rPr>
      <w:rFonts w:ascii="仿宋_GB2312" w:eastAsia="仿宋_GB2312"/>
      <w:kern w:val="2"/>
      <w:sz w:val="24"/>
    </w:rPr>
  </w:style>
  <w:style w:type="character" w:customStyle="1" w:styleId="77">
    <w:name w:val="Char Char11"/>
    <w:autoRedefine/>
    <w:qFormat/>
    <w:uiPriority w:val="0"/>
    <w:rPr>
      <w:rFonts w:ascii="Arial" w:hAnsi="Arial" w:eastAsia="黑体"/>
      <w:b/>
      <w:kern w:val="2"/>
      <w:sz w:val="32"/>
    </w:rPr>
  </w:style>
  <w:style w:type="character" w:customStyle="1" w:styleId="78">
    <w:name w:val="副标题 Char1"/>
    <w:autoRedefine/>
    <w:qFormat/>
    <w:uiPriority w:val="0"/>
    <w:rPr>
      <w:rFonts w:ascii="Cambria" w:hAnsi="Cambria"/>
      <w:b/>
      <w:kern w:val="28"/>
      <w:sz w:val="32"/>
    </w:rPr>
  </w:style>
  <w:style w:type="character" w:customStyle="1" w:styleId="79">
    <w:name w:val="style71"/>
    <w:autoRedefine/>
    <w:qFormat/>
    <w:uiPriority w:val="0"/>
    <w:rPr>
      <w:sz w:val="30"/>
    </w:rPr>
  </w:style>
  <w:style w:type="character" w:customStyle="1" w:styleId="80">
    <w:name w:val="Char Char2"/>
    <w:autoRedefine/>
    <w:qFormat/>
    <w:uiPriority w:val="0"/>
    <w:rPr>
      <w:rFonts w:ascii="宋体"/>
      <w:kern w:val="2"/>
      <w:sz w:val="18"/>
    </w:rPr>
  </w:style>
  <w:style w:type="character" w:customStyle="1" w:styleId="81">
    <w:name w:val="rvts11"/>
    <w:autoRedefine/>
    <w:qFormat/>
    <w:uiPriority w:val="0"/>
    <w:rPr>
      <w:rFonts w:ascii="KNLe" w:hAnsi="KNLe" w:cs="Times New Roman"/>
      <w:u w:val="single"/>
    </w:rPr>
  </w:style>
  <w:style w:type="character" w:customStyle="1" w:styleId="82">
    <w:name w:val="Char Char12"/>
    <w:autoRedefine/>
    <w:qFormat/>
    <w:uiPriority w:val="0"/>
    <w:rPr>
      <w:b/>
      <w:kern w:val="44"/>
      <w:sz w:val="44"/>
    </w:rPr>
  </w:style>
  <w:style w:type="character" w:customStyle="1" w:styleId="83">
    <w:name w:val="批注主题 Char1"/>
    <w:autoRedefine/>
    <w:semiHidden/>
    <w:qFormat/>
    <w:uiPriority w:val="0"/>
    <w:rPr>
      <w:b/>
    </w:rPr>
  </w:style>
  <w:style w:type="character" w:customStyle="1" w:styleId="84">
    <w:name w:val="hover1"/>
    <w:autoRedefine/>
    <w:qFormat/>
    <w:uiPriority w:val="0"/>
    <w:rPr>
      <w:color w:val="2590EB"/>
    </w:rPr>
  </w:style>
  <w:style w:type="character" w:customStyle="1" w:styleId="85">
    <w:name w:val="15"/>
    <w:autoRedefine/>
    <w:qFormat/>
    <w:uiPriority w:val="0"/>
    <w:rPr>
      <w:rFonts w:hint="default" w:ascii="Times New Roman" w:hAnsi="Times New Roman" w:cs="Times New Roman"/>
      <w:color w:val="464445"/>
      <w:u w:val="none"/>
    </w:rPr>
  </w:style>
  <w:style w:type="character" w:customStyle="1" w:styleId="86">
    <w:name w:val="Plain Text Char1"/>
    <w:autoRedefine/>
    <w:qFormat/>
    <w:locked/>
    <w:uiPriority w:val="0"/>
    <w:rPr>
      <w:rFonts w:ascii="宋体" w:hAnsi="Courier New" w:eastAsia="宋体"/>
      <w:kern w:val="2"/>
      <w:sz w:val="21"/>
      <w:lang w:val="en-US" w:eastAsia="zh-CN"/>
    </w:rPr>
  </w:style>
  <w:style w:type="character" w:customStyle="1" w:styleId="87">
    <w:name w:val="hover2"/>
    <w:autoRedefine/>
    <w:qFormat/>
    <w:uiPriority w:val="0"/>
  </w:style>
  <w:style w:type="character" w:customStyle="1" w:styleId="88">
    <w:name w:val="文档结构图 Char2"/>
    <w:autoRedefine/>
    <w:semiHidden/>
    <w:qFormat/>
    <w:uiPriority w:val="0"/>
    <w:rPr>
      <w:rFonts w:ascii="宋体"/>
      <w:kern w:val="2"/>
      <w:sz w:val="18"/>
    </w:rPr>
  </w:style>
  <w:style w:type="character" w:customStyle="1" w:styleId="89">
    <w:name w:val="Document Map Char"/>
    <w:autoRedefine/>
    <w:semiHidden/>
    <w:qFormat/>
    <w:locked/>
    <w:uiPriority w:val="0"/>
    <w:rPr>
      <w:rFonts w:ascii="宋体" w:hAnsi="Times New Roman" w:eastAsia="宋体" w:cs="Times New Roman"/>
      <w:sz w:val="18"/>
    </w:rPr>
  </w:style>
  <w:style w:type="character" w:customStyle="1" w:styleId="90">
    <w:name w:val="font31"/>
    <w:autoRedefine/>
    <w:qFormat/>
    <w:uiPriority w:val="0"/>
    <w:rPr>
      <w:rFonts w:ascii="方正仿宋_GBK" w:hAnsi="方正仿宋_GBK" w:eastAsia="方正仿宋_GBK" w:cs="方正仿宋_GBK"/>
      <w:color w:val="000000"/>
      <w:sz w:val="24"/>
      <w:szCs w:val="24"/>
      <w:u w:val="none"/>
    </w:rPr>
  </w:style>
  <w:style w:type="character" w:customStyle="1" w:styleId="91">
    <w:name w:val="纯文本 Char1"/>
    <w:autoRedefine/>
    <w:semiHidden/>
    <w:qFormat/>
    <w:uiPriority w:val="0"/>
    <w:rPr>
      <w:rFonts w:ascii="宋体" w:hAnsi="Courier New" w:eastAsia="宋体"/>
      <w:sz w:val="21"/>
    </w:rPr>
  </w:style>
  <w:style w:type="character" w:customStyle="1" w:styleId="92">
    <w:name w:val="Char Char10"/>
    <w:autoRedefine/>
    <w:qFormat/>
    <w:uiPriority w:val="0"/>
    <w:rPr>
      <w:b/>
      <w:kern w:val="2"/>
      <w:sz w:val="32"/>
    </w:rPr>
  </w:style>
  <w:style w:type="character" w:customStyle="1" w:styleId="93">
    <w:name w:val="hover3"/>
    <w:autoRedefine/>
    <w:qFormat/>
    <w:uiPriority w:val="0"/>
    <w:rPr>
      <w:color w:val="2590EB"/>
      <w:shd w:val="clear" w:color="auto" w:fill="E9F4FD"/>
    </w:rPr>
  </w:style>
  <w:style w:type="character" w:customStyle="1" w:styleId="94">
    <w:name w:val="Char Char3"/>
    <w:autoRedefine/>
    <w:qFormat/>
    <w:uiPriority w:val="0"/>
    <w:rPr>
      <w:kern w:val="2"/>
      <w:sz w:val="18"/>
    </w:rPr>
  </w:style>
  <w:style w:type="character" w:customStyle="1" w:styleId="95">
    <w:name w:val="hover4"/>
    <w:autoRedefine/>
    <w:qFormat/>
    <w:uiPriority w:val="0"/>
    <w:rPr>
      <w:color w:val="2590EB"/>
      <w:shd w:val="clear" w:color="auto" w:fill="E9F4FD"/>
    </w:rPr>
  </w:style>
  <w:style w:type="character" w:customStyle="1" w:styleId="96">
    <w:name w:val="批注文字 Char"/>
    <w:autoRedefine/>
    <w:qFormat/>
    <w:uiPriority w:val="0"/>
    <w:rPr>
      <w:rFonts w:ascii="Calibri" w:hAnsi="Calibri" w:cs="Times New Roman"/>
      <w:kern w:val="2"/>
      <w:sz w:val="22"/>
      <w:szCs w:val="22"/>
    </w:rPr>
  </w:style>
  <w:style w:type="character" w:customStyle="1" w:styleId="97">
    <w:name w:val="Heading 4 Char"/>
    <w:autoRedefine/>
    <w:semiHidden/>
    <w:qFormat/>
    <w:locked/>
    <w:uiPriority w:val="0"/>
    <w:rPr>
      <w:rFonts w:ascii="Cambria" w:hAnsi="Cambria" w:eastAsia="宋体" w:cs="Times New Roman"/>
      <w:b/>
      <w:bCs/>
      <w:sz w:val="28"/>
      <w:szCs w:val="28"/>
    </w:rPr>
  </w:style>
  <w:style w:type="character" w:customStyle="1" w:styleId="98">
    <w:name w:val="font21"/>
    <w:autoRedefine/>
    <w:qFormat/>
    <w:uiPriority w:val="0"/>
    <w:rPr>
      <w:rFonts w:hint="eastAsia" w:ascii="宋体" w:hAnsi="宋体" w:eastAsia="宋体" w:cs="宋体"/>
      <w:color w:val="000000"/>
      <w:sz w:val="24"/>
      <w:szCs w:val="24"/>
      <w:u w:val="none"/>
    </w:rPr>
  </w:style>
  <w:style w:type="character" w:customStyle="1" w:styleId="99">
    <w:name w:val="hover"/>
    <w:autoRedefine/>
    <w:qFormat/>
    <w:uiPriority w:val="0"/>
    <w:rPr>
      <w:color w:val="2590EB"/>
    </w:rPr>
  </w:style>
  <w:style w:type="character" w:customStyle="1" w:styleId="100">
    <w:name w:val="doc-header-title"/>
    <w:autoRedefine/>
    <w:qFormat/>
    <w:uiPriority w:val="0"/>
  </w:style>
  <w:style w:type="character" w:customStyle="1" w:styleId="101">
    <w:name w:val="页眉 Char1"/>
    <w:autoRedefine/>
    <w:semiHidden/>
    <w:qFormat/>
    <w:uiPriority w:val="0"/>
    <w:rPr>
      <w:rFonts w:ascii="Times New Roman" w:hAnsi="Times New Roman" w:eastAsia="宋体"/>
      <w:sz w:val="18"/>
    </w:rPr>
  </w:style>
  <w:style w:type="character" w:customStyle="1" w:styleId="102">
    <w:name w:val="Char Char6"/>
    <w:autoRedefine/>
    <w:qFormat/>
    <w:uiPriority w:val="0"/>
    <w:rPr>
      <w:kern w:val="2"/>
      <w:sz w:val="18"/>
    </w:rPr>
  </w:style>
  <w:style w:type="character" w:customStyle="1" w:styleId="103">
    <w:name w:val="正文文本缩进 3 Char1"/>
    <w:autoRedefine/>
    <w:semiHidden/>
    <w:qFormat/>
    <w:uiPriority w:val="0"/>
    <w:rPr>
      <w:kern w:val="2"/>
      <w:sz w:val="16"/>
    </w:rPr>
  </w:style>
  <w:style w:type="character" w:customStyle="1" w:styleId="104">
    <w:name w:val="批注引用1"/>
    <w:autoRedefine/>
    <w:qFormat/>
    <w:uiPriority w:val="0"/>
    <w:rPr>
      <w:sz w:val="21"/>
    </w:rPr>
  </w:style>
  <w:style w:type="character" w:customStyle="1" w:styleId="105">
    <w:name w:val="页码1"/>
    <w:autoRedefine/>
    <w:qFormat/>
    <w:uiPriority w:val="0"/>
    <w:rPr>
      <w:rFonts w:cs="Times New Roman"/>
    </w:rPr>
  </w:style>
  <w:style w:type="character" w:customStyle="1" w:styleId="106">
    <w:name w:val="批注框文本 Char1"/>
    <w:autoRedefine/>
    <w:semiHidden/>
    <w:qFormat/>
    <w:uiPriority w:val="0"/>
    <w:rPr>
      <w:rFonts w:ascii="Times New Roman" w:hAnsi="Times New Roman" w:eastAsia="宋体"/>
      <w:sz w:val="18"/>
    </w:rPr>
  </w:style>
  <w:style w:type="character" w:customStyle="1" w:styleId="107">
    <w:name w:val="尾注文本 Char1"/>
    <w:autoRedefine/>
    <w:qFormat/>
    <w:uiPriority w:val="0"/>
    <w:rPr>
      <w:kern w:val="2"/>
      <w:sz w:val="21"/>
    </w:rPr>
  </w:style>
  <w:style w:type="character" w:customStyle="1" w:styleId="108">
    <w:name w:val="Comment Subject Char1"/>
    <w:autoRedefine/>
    <w:qFormat/>
    <w:locked/>
    <w:uiPriority w:val="0"/>
    <w:rPr>
      <w:b/>
      <w:kern w:val="2"/>
      <w:sz w:val="24"/>
    </w:rPr>
  </w:style>
  <w:style w:type="character" w:customStyle="1" w:styleId="109">
    <w:name w:val="Char Char"/>
    <w:autoRedefine/>
    <w:qFormat/>
    <w:uiPriority w:val="0"/>
    <w:rPr>
      <w:kern w:val="2"/>
      <w:sz w:val="18"/>
    </w:rPr>
  </w:style>
  <w:style w:type="character" w:customStyle="1" w:styleId="110">
    <w:name w:val="页脚 Char1"/>
    <w:autoRedefine/>
    <w:semiHidden/>
    <w:qFormat/>
    <w:uiPriority w:val="0"/>
    <w:rPr>
      <w:rFonts w:ascii="Times New Roman" w:hAnsi="Times New Roman" w:eastAsia="宋体"/>
      <w:sz w:val="18"/>
    </w:rPr>
  </w:style>
  <w:style w:type="character" w:customStyle="1" w:styleId="111">
    <w:name w:val="Char Char5"/>
    <w:autoRedefine/>
    <w:qFormat/>
    <w:uiPriority w:val="0"/>
    <w:rPr>
      <w:kern w:val="2"/>
      <w:sz w:val="24"/>
    </w:rPr>
  </w:style>
  <w:style w:type="character" w:customStyle="1" w:styleId="112">
    <w:name w:val="未处理的提及1"/>
    <w:autoRedefine/>
    <w:semiHidden/>
    <w:qFormat/>
    <w:uiPriority w:val="0"/>
    <w:rPr>
      <w:rFonts w:cs="Times New Roman"/>
      <w:color w:val="808080"/>
      <w:shd w:val="clear" w:color="auto" w:fill="E6E6E6"/>
    </w:rPr>
  </w:style>
  <w:style w:type="paragraph" w:customStyle="1" w:styleId="113">
    <w:name w:val="文档结构图1"/>
    <w:basedOn w:val="1"/>
    <w:autoRedefine/>
    <w:qFormat/>
    <w:uiPriority w:val="0"/>
    <w:rPr>
      <w:rFonts w:ascii="宋体"/>
      <w:kern w:val="0"/>
      <w:sz w:val="18"/>
      <w:szCs w:val="18"/>
    </w:rPr>
  </w:style>
  <w:style w:type="paragraph" w:customStyle="1" w:styleId="114">
    <w:name w:val="zhang"/>
    <w:basedOn w:val="1"/>
    <w:autoRedefine/>
    <w:qFormat/>
    <w:uiPriority w:val="0"/>
    <w:pPr>
      <w:spacing w:before="100" w:beforeAutospacing="1" w:after="100" w:afterAutospacing="1"/>
    </w:pPr>
    <w:rPr>
      <w:b/>
      <w:bCs/>
      <w:smallCaps/>
      <w:color w:val="000000"/>
      <w:sz w:val="20"/>
    </w:rPr>
  </w:style>
  <w:style w:type="paragraph" w:customStyle="1" w:styleId="115">
    <w:name w:val="导则正文"/>
    <w:basedOn w:val="1"/>
    <w:autoRedefine/>
    <w:qFormat/>
    <w:uiPriority w:val="0"/>
    <w:pPr>
      <w:ind w:firstLine="200"/>
      <w:jc w:val="left"/>
    </w:pPr>
    <w:rPr>
      <w:szCs w:val="24"/>
    </w:rPr>
  </w:style>
  <w:style w:type="paragraph" w:customStyle="1" w:styleId="116">
    <w:name w:val="纯文本1"/>
    <w:basedOn w:val="1"/>
    <w:autoRedefine/>
    <w:qFormat/>
    <w:uiPriority w:val="0"/>
    <w:rPr>
      <w:rFonts w:ascii="宋体" w:hAnsi="Courier New" w:cs="Courier New"/>
      <w:szCs w:val="21"/>
    </w:rPr>
  </w:style>
  <w:style w:type="paragraph" w:customStyle="1" w:styleId="117">
    <w:name w:val="正文文本缩进1"/>
    <w:basedOn w:val="1"/>
    <w:autoRedefine/>
    <w:qFormat/>
    <w:uiPriority w:val="0"/>
    <w:pPr>
      <w:spacing w:after="120"/>
      <w:ind w:left="420" w:leftChars="200"/>
    </w:pPr>
    <w:rPr>
      <w:szCs w:val="24"/>
    </w:rPr>
  </w:style>
  <w:style w:type="paragraph" w:customStyle="1" w:styleId="118">
    <w:name w:val="普通(网站)1"/>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119">
    <w:name w:val="正文_0"/>
    <w:autoRedefine/>
    <w:qFormat/>
    <w:uiPriority w:val="0"/>
    <w:pPr>
      <w:widowControl w:val="0"/>
      <w:jc w:val="both"/>
    </w:pPr>
    <w:rPr>
      <w:rFonts w:ascii="Times New Roman" w:hAnsi="Times New Roman" w:eastAsia="宋体" w:cs="Calibri"/>
      <w:kern w:val="2"/>
      <w:sz w:val="21"/>
      <w:szCs w:val="21"/>
      <w:lang w:val="en-US" w:eastAsia="zh-CN" w:bidi="ar-SA"/>
    </w:rPr>
  </w:style>
  <w:style w:type="paragraph" w:customStyle="1" w:styleId="120">
    <w:name w:val="批注主题1"/>
    <w:basedOn w:val="11"/>
    <w:next w:val="11"/>
    <w:autoRedefine/>
    <w:qFormat/>
    <w:uiPriority w:val="0"/>
    <w:pPr>
      <w:jc w:val="both"/>
    </w:pPr>
    <w:rPr>
      <w:b/>
      <w:kern w:val="0"/>
      <w:sz w:val="24"/>
    </w:rPr>
  </w:style>
  <w:style w:type="paragraph" w:customStyle="1" w:styleId="121">
    <w:name w:val="正文_0_0"/>
    <w:autoRedefine/>
    <w:qFormat/>
    <w:uiPriority w:val="99"/>
    <w:pPr>
      <w:widowControl w:val="0"/>
      <w:jc w:val="both"/>
    </w:pPr>
    <w:rPr>
      <w:rFonts w:ascii="Times New Roman" w:hAnsi="Times New Roman" w:eastAsia="宋体" w:cs="Times New Roman"/>
      <w:lang w:val="en-US" w:eastAsia="zh-CN" w:bidi="ar-SA"/>
    </w:rPr>
  </w:style>
  <w:style w:type="paragraph" w:customStyle="1" w:styleId="122">
    <w:name w:val="无间隔1"/>
    <w:autoRedefine/>
    <w:qFormat/>
    <w:uiPriority w:val="0"/>
    <w:pPr>
      <w:widowControl w:val="0"/>
      <w:jc w:val="both"/>
    </w:pPr>
    <w:rPr>
      <w:rFonts w:ascii="等线" w:hAnsi="等线" w:eastAsia="等线" w:cs="Times New Roman"/>
      <w:kern w:val="2"/>
      <w:sz w:val="18"/>
      <w:szCs w:val="22"/>
      <w:lang w:val="en-US" w:eastAsia="zh-CN" w:bidi="ar-SA"/>
    </w:rPr>
  </w:style>
  <w:style w:type="paragraph" w:customStyle="1" w:styleId="123">
    <w:name w:val="Char Char Char Char"/>
    <w:basedOn w:val="1"/>
    <w:autoRedefine/>
    <w:qFormat/>
    <w:uiPriority w:val="0"/>
    <w:rPr>
      <w:rFonts w:ascii="仿宋_GB2312" w:eastAsia="仿宋_GB2312"/>
      <w:b/>
      <w:sz w:val="32"/>
      <w:szCs w:val="32"/>
    </w:rPr>
  </w:style>
  <w:style w:type="paragraph" w:customStyle="1" w:styleId="124">
    <w:name w:val="Table Paragraph"/>
    <w:basedOn w:val="1"/>
    <w:autoRedefine/>
    <w:qFormat/>
    <w:uiPriority w:val="0"/>
    <w:rPr>
      <w:rFonts w:ascii="宋体" w:hAnsi="宋体" w:cs="宋体"/>
    </w:rPr>
  </w:style>
  <w:style w:type="paragraph" w:customStyle="1" w:styleId="125">
    <w:name w:val="列出段落1"/>
    <w:basedOn w:val="1"/>
    <w:autoRedefine/>
    <w:qFormat/>
    <w:uiPriority w:val="0"/>
    <w:pPr>
      <w:ind w:firstLine="420" w:firstLineChars="200"/>
    </w:pPr>
    <w:rPr>
      <w:szCs w:val="22"/>
    </w:rPr>
  </w:style>
  <w:style w:type="paragraph" w:customStyle="1" w:styleId="126">
    <w:name w:val="Blockquote"/>
    <w:basedOn w:val="1"/>
    <w:autoRedefine/>
    <w:qFormat/>
    <w:uiPriority w:val="0"/>
    <w:pPr>
      <w:autoSpaceDE w:val="0"/>
      <w:autoSpaceDN w:val="0"/>
      <w:adjustRightInd w:val="0"/>
      <w:spacing w:before="100" w:after="100"/>
      <w:ind w:left="360" w:right="360"/>
      <w:jc w:val="left"/>
    </w:pPr>
    <w:rPr>
      <w:kern w:val="0"/>
      <w:sz w:val="24"/>
    </w:rPr>
  </w:style>
  <w:style w:type="paragraph" w:customStyle="1" w:styleId="127">
    <w:name w:val="Char"/>
    <w:basedOn w:val="1"/>
    <w:autoRedefine/>
    <w:qFormat/>
    <w:uiPriority w:val="0"/>
    <w:pPr>
      <w:widowControl/>
      <w:spacing w:after="160" w:line="240" w:lineRule="exact"/>
      <w:ind w:left="-62" w:right="36" w:rightChars="15"/>
      <w:jc w:val="left"/>
    </w:pPr>
    <w:rPr>
      <w:rFonts w:ascii="Arial" w:hAnsi="Arial"/>
      <w:kern w:val="0"/>
      <w:sz w:val="20"/>
      <w:lang w:eastAsia="en-US"/>
    </w:rPr>
  </w:style>
  <w:style w:type="paragraph" w:customStyle="1" w:styleId="128">
    <w:name w:val="TOC 标题1"/>
    <w:basedOn w:val="3"/>
    <w:next w:val="1"/>
    <w:autoRedefine/>
    <w:qFormat/>
    <w:uiPriority w:val="0"/>
    <w:pPr>
      <w:widowControl/>
      <w:spacing w:before="240" w:after="0" w:line="259" w:lineRule="auto"/>
      <w:jc w:val="left"/>
      <w:outlineLvl w:val="9"/>
    </w:pPr>
    <w:rPr>
      <w:rFonts w:ascii="Calibri Light" w:hAnsi="Calibri Light"/>
      <w:b w:val="0"/>
      <w:color w:val="2E74B5"/>
      <w:kern w:val="0"/>
      <w:sz w:val="32"/>
      <w:szCs w:val="32"/>
    </w:rPr>
  </w:style>
  <w:style w:type="paragraph" w:styleId="129">
    <w:name w:val="List Paragraph"/>
    <w:basedOn w:val="1"/>
    <w:autoRedefine/>
    <w:qFormat/>
    <w:uiPriority w:val="99"/>
    <w:pPr>
      <w:ind w:firstLine="420" w:firstLineChars="200"/>
    </w:pPr>
  </w:style>
  <w:style w:type="paragraph" w:customStyle="1" w:styleId="130">
    <w:name w:val="列出段落11"/>
    <w:basedOn w:val="1"/>
    <w:autoRedefine/>
    <w:qFormat/>
    <w:uiPriority w:val="0"/>
    <w:pPr>
      <w:ind w:firstLine="420" w:firstLineChars="200"/>
    </w:pPr>
  </w:style>
  <w:style w:type="paragraph" w:customStyle="1" w:styleId="131">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2">
    <w:name w:val="1-正文"/>
    <w:basedOn w:val="1"/>
    <w:autoRedefine/>
    <w:qFormat/>
    <w:uiPriority w:val="0"/>
    <w:pPr>
      <w:ind w:firstLine="200" w:firstLineChars="200"/>
    </w:pPr>
    <w:rPr>
      <w:rFonts w:ascii="仿宋_GB2312" w:hAnsi="仿宋" w:eastAsia="仿宋_GB2312"/>
      <w:sz w:val="32"/>
      <w:szCs w:val="32"/>
    </w:rPr>
  </w:style>
  <w:style w:type="paragraph" w:customStyle="1" w:styleId="133">
    <w:name w:val="p0"/>
    <w:basedOn w:val="1"/>
    <w:autoRedefine/>
    <w:qFormat/>
    <w:uiPriority w:val="0"/>
    <w:rPr>
      <w:szCs w:val="21"/>
    </w:rPr>
  </w:style>
  <w:style w:type="paragraph" w:customStyle="1" w:styleId="134">
    <w:name w:val="List Paragraph1"/>
    <w:basedOn w:val="1"/>
    <w:autoRedefine/>
    <w:qFormat/>
    <w:uiPriority w:val="0"/>
    <w:pPr>
      <w:ind w:firstLine="420" w:firstLineChars="200"/>
    </w:pPr>
  </w:style>
  <w:style w:type="paragraph" w:customStyle="1" w:styleId="135">
    <w:name w:val="标2"/>
    <w:basedOn w:val="1"/>
    <w:autoRedefine/>
    <w:qFormat/>
    <w:uiPriority w:val="0"/>
    <w:pPr>
      <w:ind w:firstLine="420" w:firstLineChars="200"/>
    </w:pPr>
    <w:rPr>
      <w:szCs w:val="21"/>
    </w:rPr>
  </w:style>
  <w:style w:type="paragraph" w:customStyle="1" w:styleId="136">
    <w:name w:val="No Spacing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
    <w:name w:val="段"/>
    <w:autoRedefine/>
    <w:qFormat/>
    <w:uiPriority w:val="0"/>
    <w:pPr>
      <w:numPr>
        <w:ilvl w:val="0"/>
        <w:numId w:val="1"/>
      </w:numPr>
      <w:autoSpaceDE w:val="0"/>
      <w:autoSpaceDN w:val="0"/>
      <w:jc w:val="both"/>
    </w:pPr>
    <w:rPr>
      <w:rFonts w:ascii="宋体" w:hAnsi="Times New Roman" w:eastAsia="宋体" w:cs="Times New Roman"/>
      <w:sz w:val="21"/>
      <w:szCs w:val="22"/>
      <w:lang w:val="en-US" w:eastAsia="zh-CN" w:bidi="ar-SA"/>
    </w:rPr>
  </w:style>
  <w:style w:type="paragraph" w:customStyle="1" w:styleId="138">
    <w:name w:val="_Style 4"/>
    <w:basedOn w:val="3"/>
    <w:next w:val="1"/>
    <w:autoRedefine/>
    <w:qFormat/>
    <w:uiPriority w:val="0"/>
    <w:pPr>
      <w:outlineLvl w:val="9"/>
    </w:pPr>
    <w:rPr>
      <w:rFonts w:ascii="Calibri" w:hAnsi="Calibri"/>
    </w:rPr>
  </w:style>
  <w:style w:type="table" w:customStyle="1" w:styleId="139">
    <w:name w:val="网格型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0">
    <w:name w:val="edui-clickable"/>
    <w:autoRedefine/>
    <w:qFormat/>
    <w:uiPriority w:val="0"/>
    <w:rPr>
      <w:color w:val="0000FF"/>
      <w:u w:val="single"/>
    </w:rPr>
  </w:style>
  <w:style w:type="character" w:customStyle="1" w:styleId="141">
    <w:name w:val="edui-unclickable"/>
    <w:autoRedefine/>
    <w:qFormat/>
    <w:uiPriority w:val="0"/>
    <w:rPr>
      <w:color w:val="808080"/>
    </w:rPr>
  </w:style>
  <w:style w:type="character" w:customStyle="1" w:styleId="142">
    <w:name w:val="edui-clickable2"/>
    <w:autoRedefine/>
    <w:qFormat/>
    <w:uiPriority w:val="0"/>
    <w:rPr>
      <w:color w:val="0000FF"/>
      <w:u w:val="single"/>
    </w:rPr>
  </w:style>
  <w:style w:type="paragraph" w:customStyle="1" w:styleId="143">
    <w:name w:val="修订1"/>
    <w:autoRedefine/>
    <w:unhideWhenUsed/>
    <w:qFormat/>
    <w:uiPriority w:val="99"/>
    <w:rPr>
      <w:rFonts w:ascii="Times New Roman" w:hAnsi="Times New Roman" w:eastAsia="宋体" w:cs="Times New Roman"/>
      <w:kern w:val="2"/>
      <w:sz w:val="21"/>
      <w:lang w:val="en-US" w:eastAsia="zh-CN" w:bidi="ar-SA"/>
    </w:rPr>
  </w:style>
  <w:style w:type="character" w:customStyle="1" w:styleId="144">
    <w:name w:val="HTML Markup"/>
    <w:autoRedefine/>
    <w:qFormat/>
    <w:uiPriority w:val="0"/>
    <w:rPr>
      <w:vanish/>
      <w:color w:val="FF0000"/>
    </w:rPr>
  </w:style>
  <w:style w:type="character" w:customStyle="1" w:styleId="145">
    <w:name w:val="wz141"/>
    <w:basedOn w:val="36"/>
    <w:autoRedefine/>
    <w:qFormat/>
    <w:uiPriority w:val="0"/>
    <w:rPr>
      <w:rFonts w:hint="default" w:ascii="Arial" w:hAnsi="Arial" w:cs="Arial"/>
      <w:color w:val="000000"/>
      <w:sz w:val="21"/>
      <w:szCs w:val="21"/>
    </w:rPr>
  </w:style>
  <w:style w:type="paragraph" w:customStyle="1" w:styleId="146">
    <w:name w:val="正文1"/>
    <w:autoRedefine/>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header" Target="header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北京筑龙</Company>
  <Pages>93</Pages>
  <Words>20830</Words>
  <Characters>22539</Characters>
  <Lines>503</Lines>
  <Paragraphs>141</Paragraphs>
  <TotalTime>0</TotalTime>
  <ScaleCrop>false</ScaleCrop>
  <LinksUpToDate>false</LinksUpToDate>
  <CharactersWithSpaces>22735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2023-03-22T05:44:00Z</dcterms:created>
  <dc:creator>jshcg</dc:creator>
  <cp:lastModifiedBy>刘祥</cp:lastModifiedBy>
  <cp:lastPrinted>2025-01-15T09:16:00Z</cp:lastPrinted>
  <dcterms:modified xsi:type="dcterms:W3CDTF">2025-02-08T05:10:27Z</dcterms:modified>
  <dc:subject>全过程工程咨询服务资格后审</dc:subject>
  <dc:title>招标文件讨论稿</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8C13613322F54E67A0B1D221BE2493D4_13</vt:lpwstr>
  </property>
  <property fmtid="{D5CDD505-2E9C-101B-9397-08002B2CF9AE}" pid="4" name="KSOTemplateDocerSaveRecord">
    <vt:lpwstr>eyJoZGlkIjoiMWM4MmVkOTA1MjFjYzMwZWNmZGFhODliZDBjZWU4YWMiLCJ1c2VySWQiOiIyODk0MTc0MTIifQ==</vt:lpwstr>
  </property>
</Properties>
</file>