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80E316">
      <w:pPr>
        <w:spacing w:line="276" w:lineRule="auto"/>
        <w:jc w:val="center"/>
        <w:rPr>
          <w:rFonts w:hint="eastAsia" w:ascii="宋体" w:hAnsi="宋体" w:eastAsia="宋体" w:cs="Times New Roman"/>
          <w:b/>
          <w:sz w:val="32"/>
          <w:szCs w:val="30"/>
          <w:highlight w:val="none"/>
        </w:rPr>
      </w:pPr>
      <w:r>
        <w:rPr>
          <w:rFonts w:hint="eastAsia" w:ascii="宋体" w:hAnsi="宋体" w:eastAsia="宋体" w:cs="Times New Roman"/>
          <w:b/>
          <w:sz w:val="32"/>
          <w:szCs w:val="30"/>
          <w:highlight w:val="none"/>
          <w:lang w:eastAsia="zh-CN"/>
        </w:rPr>
        <w:t>新港藻泥处理船防风浪加固及配套设施维修工程</w:t>
      </w:r>
      <w:r>
        <w:rPr>
          <w:rFonts w:hint="eastAsia" w:ascii="宋体" w:hAnsi="宋体" w:eastAsia="宋体" w:cs="Times New Roman"/>
          <w:b/>
          <w:sz w:val="32"/>
          <w:szCs w:val="30"/>
          <w:highlight w:val="none"/>
        </w:rPr>
        <w:t>招标公告</w:t>
      </w:r>
    </w:p>
    <w:p w14:paraId="1794BE69">
      <w:pPr>
        <w:pStyle w:val="2"/>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项目编号：YXGYJT202408011</w:t>
      </w:r>
    </w:p>
    <w:p w14:paraId="087B4D26">
      <w:pPr>
        <w:tabs>
          <w:tab w:val="left" w:pos="3204"/>
        </w:tabs>
        <w:spacing w:line="360" w:lineRule="auto"/>
        <w:rPr>
          <w:rFonts w:ascii="宋体" w:hAnsi="宋体" w:eastAsia="宋体" w:cs="Times New Roman"/>
          <w:b/>
          <w:bCs/>
          <w:sz w:val="28"/>
          <w:szCs w:val="28"/>
          <w:highlight w:val="none"/>
        </w:rPr>
      </w:pPr>
      <w:r>
        <w:rPr>
          <w:rFonts w:ascii="宋体" w:hAnsi="宋体" w:eastAsia="宋体" w:cs="Times New Roman"/>
          <w:b/>
          <w:bCs/>
          <w:sz w:val="28"/>
          <w:szCs w:val="28"/>
          <w:highlight w:val="none"/>
        </w:rPr>
        <w:t>1.</w:t>
      </w:r>
      <w:r>
        <w:rPr>
          <w:rFonts w:hint="eastAsia" w:ascii="宋体" w:hAnsi="宋体" w:eastAsia="宋体" w:cs="Times New Roman"/>
          <w:b/>
          <w:bCs/>
          <w:sz w:val="28"/>
          <w:szCs w:val="28"/>
          <w:highlight w:val="none"/>
        </w:rPr>
        <w:t>招标条件</w:t>
      </w:r>
      <w:r>
        <w:rPr>
          <w:rFonts w:ascii="宋体" w:hAnsi="宋体" w:eastAsia="宋体" w:cs="Times New Roman"/>
          <w:b/>
          <w:bCs/>
          <w:sz w:val="28"/>
          <w:szCs w:val="28"/>
          <w:highlight w:val="none"/>
        </w:rPr>
        <w:tab/>
      </w:r>
    </w:p>
    <w:p w14:paraId="4F24DF59">
      <w:pPr>
        <w:spacing w:line="360" w:lineRule="auto"/>
        <w:ind w:firstLine="480" w:firstLineChars="200"/>
        <w:rPr>
          <w:rFonts w:ascii="ˎ̥" w:hAnsi="ˎ̥" w:eastAsia="宋体" w:cs="Times New Roman"/>
          <w:sz w:val="24"/>
          <w:highlight w:val="none"/>
        </w:rPr>
      </w:pPr>
      <w:r>
        <w:rPr>
          <w:rFonts w:hint="eastAsia" w:ascii="ˎ̥" w:hAnsi="ˎ̥" w:eastAsia="宋体" w:cs="Times New Roman"/>
          <w:sz w:val="24"/>
          <w:highlight w:val="none"/>
        </w:rPr>
        <w:t>本招标项目</w:t>
      </w:r>
      <w:r>
        <w:rPr>
          <w:rFonts w:hint="eastAsia" w:ascii="ˎ̥" w:hAnsi="ˎ̥" w:eastAsia="宋体" w:cs="Times New Roman"/>
          <w:sz w:val="24"/>
          <w:highlight w:val="none"/>
          <w:u w:val="single"/>
          <w:lang w:eastAsia="zh-CN"/>
        </w:rPr>
        <w:t>新港藻泥处理船防风浪加固及配套设施维修工程</w:t>
      </w:r>
      <w:r>
        <w:rPr>
          <w:rFonts w:hint="eastAsia" w:ascii="ˎ̥" w:hAnsi="ˎ̥" w:eastAsia="宋体" w:cs="Times New Roman"/>
          <w:sz w:val="24"/>
          <w:highlight w:val="none"/>
        </w:rPr>
        <w:t>，已由相关部门批准建设，招标人为</w:t>
      </w:r>
      <w:r>
        <w:rPr>
          <w:rFonts w:ascii="ˎ̥" w:hAnsi="ˎ̥" w:eastAsia="宋体" w:cs="Times New Roman"/>
          <w:sz w:val="24"/>
          <w:highlight w:val="none"/>
          <w:u w:val="single"/>
        </w:rPr>
        <w:t> </w:t>
      </w:r>
      <w:r>
        <w:rPr>
          <w:rFonts w:hint="eastAsia" w:ascii="ˎ̥" w:hAnsi="ˎ̥" w:eastAsia="宋体" w:cs="Times New Roman"/>
          <w:sz w:val="24"/>
          <w:highlight w:val="none"/>
          <w:u w:val="single"/>
          <w:lang w:eastAsia="zh-CN"/>
        </w:rPr>
        <w:t>江苏宜公投蓝藻资源开发有限公司</w:t>
      </w:r>
      <w:r>
        <w:rPr>
          <w:rFonts w:hint="eastAsia" w:ascii="ˎ̥" w:hAnsi="ˎ̥" w:eastAsia="宋体" w:cs="Times New Roman"/>
          <w:sz w:val="24"/>
          <w:highlight w:val="none"/>
        </w:rPr>
        <w:t>，建设资金来自</w:t>
      </w:r>
      <w:r>
        <w:rPr>
          <w:rFonts w:hint="eastAsia" w:ascii="ˎ̥" w:hAnsi="ˎ̥" w:eastAsia="宋体" w:cs="Times New Roman"/>
          <w:sz w:val="24"/>
          <w:highlight w:val="none"/>
          <w:u w:val="single"/>
          <w:lang w:val="en-US" w:eastAsia="zh-CN"/>
        </w:rPr>
        <w:t>财政</w:t>
      </w:r>
      <w:r>
        <w:rPr>
          <w:rFonts w:hint="eastAsia" w:ascii="ˎ̥" w:hAnsi="ˎ̥" w:eastAsia="宋体" w:cs="Times New Roman"/>
          <w:sz w:val="24"/>
          <w:highlight w:val="none"/>
        </w:rPr>
        <w:t>。项目已具备招标条件，现对该项目进行公开招标。</w:t>
      </w:r>
    </w:p>
    <w:p w14:paraId="782C8FBE">
      <w:pPr>
        <w:spacing w:line="360" w:lineRule="auto"/>
        <w:rPr>
          <w:rFonts w:ascii="宋体" w:hAnsi="宋体" w:eastAsia="宋体" w:cs="Times New Roman"/>
          <w:b/>
          <w:bCs/>
          <w:sz w:val="28"/>
          <w:szCs w:val="28"/>
          <w:highlight w:val="none"/>
        </w:rPr>
      </w:pPr>
      <w:r>
        <w:rPr>
          <w:rFonts w:ascii="宋体" w:hAnsi="宋体" w:eastAsia="宋体" w:cs="Times New Roman"/>
          <w:b/>
          <w:bCs/>
          <w:sz w:val="28"/>
          <w:szCs w:val="28"/>
          <w:highlight w:val="none"/>
        </w:rPr>
        <w:t>2.</w:t>
      </w:r>
      <w:r>
        <w:rPr>
          <w:rFonts w:hint="eastAsia" w:ascii="宋体" w:hAnsi="宋体" w:eastAsia="宋体" w:cs="Times New Roman"/>
          <w:b/>
          <w:bCs/>
          <w:sz w:val="28"/>
          <w:szCs w:val="28"/>
          <w:highlight w:val="none"/>
        </w:rPr>
        <w:t>项目概况与招标范围</w:t>
      </w:r>
    </w:p>
    <w:p w14:paraId="628920F8">
      <w:pPr>
        <w:spacing w:line="360" w:lineRule="auto"/>
        <w:ind w:firstLine="240" w:firstLineChars="100"/>
        <w:rPr>
          <w:rFonts w:hint="eastAsia" w:ascii="ˎ̥" w:hAnsi="ˎ̥" w:eastAsia="宋体" w:cs="Times New Roman"/>
          <w:sz w:val="24"/>
          <w:highlight w:val="none"/>
          <w:lang w:eastAsia="zh-CN"/>
        </w:rPr>
      </w:pPr>
      <w:r>
        <w:rPr>
          <w:rFonts w:ascii="ˎ̥" w:hAnsi="ˎ̥" w:eastAsia="宋体" w:cs="Times New Roman"/>
          <w:sz w:val="24"/>
          <w:highlight w:val="none"/>
        </w:rPr>
        <w:t>2.1</w:t>
      </w:r>
      <w:r>
        <w:rPr>
          <w:rFonts w:hint="eastAsia" w:ascii="ˎ̥" w:hAnsi="ˎ̥" w:eastAsia="宋体" w:cs="Times New Roman"/>
          <w:sz w:val="24"/>
          <w:highlight w:val="none"/>
        </w:rPr>
        <w:t>建设地点：宜兴市</w:t>
      </w:r>
    </w:p>
    <w:p w14:paraId="17CBCE23">
      <w:pPr>
        <w:spacing w:line="360" w:lineRule="auto"/>
        <w:ind w:firstLine="240" w:firstLineChars="100"/>
        <w:rPr>
          <w:rFonts w:ascii="宋体" w:hAnsi="宋体" w:eastAsia="宋体" w:cs="Times New Roman"/>
          <w:color w:val="000000"/>
          <w:sz w:val="24"/>
          <w:highlight w:val="none"/>
        </w:rPr>
      </w:pPr>
      <w:r>
        <w:rPr>
          <w:rFonts w:ascii="ˎ̥" w:hAnsi="ˎ̥" w:eastAsia="宋体" w:cs="Times New Roman"/>
          <w:sz w:val="24"/>
          <w:highlight w:val="none"/>
        </w:rPr>
        <w:t>2.2</w:t>
      </w:r>
      <w:r>
        <w:rPr>
          <w:rFonts w:hint="eastAsia" w:ascii="ˎ̥" w:hAnsi="ˎ̥" w:eastAsia="宋体" w:cs="Times New Roman"/>
          <w:sz w:val="24"/>
          <w:highlight w:val="none"/>
        </w:rPr>
        <w:t>合同估算价：约</w:t>
      </w:r>
      <w:r>
        <w:rPr>
          <w:rFonts w:hint="eastAsia" w:ascii="ˎ̥" w:hAnsi="ˎ̥" w:eastAsia="宋体" w:cs="Times New Roman"/>
          <w:sz w:val="24"/>
          <w:highlight w:val="none"/>
          <w:lang w:val="en-US" w:eastAsia="zh-CN"/>
        </w:rPr>
        <w:t>18.5</w:t>
      </w:r>
      <w:r>
        <w:rPr>
          <w:rFonts w:hint="eastAsia" w:ascii="ˎ̥" w:hAnsi="ˎ̥" w:eastAsia="宋体" w:cs="Times New Roman"/>
          <w:sz w:val="24"/>
          <w:highlight w:val="none"/>
        </w:rPr>
        <w:t>万</w:t>
      </w:r>
      <w:r>
        <w:rPr>
          <w:rFonts w:hint="eastAsia" w:ascii="宋体" w:hAnsi="宋体" w:eastAsia="宋体" w:cs="Times New Roman"/>
          <w:color w:val="000000"/>
          <w:sz w:val="24"/>
          <w:highlight w:val="none"/>
        </w:rPr>
        <w:t>元</w:t>
      </w:r>
    </w:p>
    <w:p w14:paraId="34960EA7">
      <w:pPr>
        <w:spacing w:line="360" w:lineRule="auto"/>
        <w:ind w:firstLine="240" w:firstLineChars="100"/>
        <w:rPr>
          <w:rFonts w:hint="default" w:ascii="宋体" w:hAnsi="宋体" w:eastAsia="宋体" w:cs="Times New Roman"/>
          <w:color w:val="000000"/>
          <w:sz w:val="24"/>
          <w:highlight w:val="none"/>
          <w:lang w:val="en-US" w:eastAsia="zh-CN"/>
        </w:rPr>
      </w:pPr>
      <w:r>
        <w:rPr>
          <w:rFonts w:ascii="ˎ̥" w:hAnsi="ˎ̥" w:eastAsia="宋体" w:cs="Times New Roman"/>
          <w:sz w:val="24"/>
          <w:highlight w:val="none"/>
        </w:rPr>
        <w:t>2.3</w:t>
      </w:r>
      <w:r>
        <w:rPr>
          <w:rFonts w:hint="eastAsia" w:ascii="ˎ̥" w:hAnsi="ˎ̥" w:eastAsia="宋体" w:cs="Times New Roman"/>
          <w:sz w:val="24"/>
          <w:highlight w:val="none"/>
        </w:rPr>
        <w:t>工期：</w:t>
      </w:r>
      <w:r>
        <w:rPr>
          <w:rFonts w:hint="eastAsia" w:ascii="ˎ̥" w:hAnsi="ˎ̥" w:eastAsia="宋体" w:cs="Times New Roman"/>
          <w:sz w:val="24"/>
          <w:highlight w:val="none"/>
          <w:lang w:val="en-US" w:eastAsia="zh-CN"/>
        </w:rPr>
        <w:t>15</w:t>
      </w:r>
      <w:r>
        <w:rPr>
          <w:rFonts w:hint="eastAsia" w:ascii="宋体" w:hAnsi="宋体" w:eastAsia="宋体" w:cs="Times New Roman"/>
          <w:sz w:val="24"/>
          <w:highlight w:val="none"/>
          <w:lang w:val="en-US" w:eastAsia="zh-CN"/>
        </w:rPr>
        <w:t>日历</w:t>
      </w:r>
      <w:r>
        <w:rPr>
          <w:rFonts w:hint="eastAsia" w:ascii="宋体" w:hAnsi="宋体" w:eastAsia="宋体" w:cs="Times New Roman"/>
          <w:color w:val="000000"/>
          <w:sz w:val="24"/>
          <w:highlight w:val="none"/>
        </w:rPr>
        <w:t>天</w:t>
      </w:r>
    </w:p>
    <w:p w14:paraId="53DA8529">
      <w:pPr>
        <w:spacing w:line="360" w:lineRule="auto"/>
        <w:ind w:firstLine="240" w:firstLineChars="100"/>
        <w:rPr>
          <w:rFonts w:ascii="ˎ̥" w:hAnsi="ˎ̥" w:eastAsia="宋体" w:cs="Times New Roman"/>
          <w:sz w:val="24"/>
          <w:highlight w:val="none"/>
        </w:rPr>
      </w:pPr>
      <w:r>
        <w:rPr>
          <w:rFonts w:ascii="ˎ̥" w:hAnsi="ˎ̥" w:eastAsia="宋体" w:cs="Times New Roman"/>
          <w:sz w:val="24"/>
          <w:highlight w:val="none"/>
        </w:rPr>
        <w:t>2.4</w:t>
      </w:r>
      <w:r>
        <w:rPr>
          <w:rFonts w:hint="eastAsia" w:ascii="ˎ̥" w:hAnsi="ˎ̥" w:eastAsia="宋体" w:cs="Times New Roman"/>
          <w:sz w:val="24"/>
          <w:highlight w:val="none"/>
        </w:rPr>
        <w:t>招标范围：</w:t>
      </w:r>
      <w:r>
        <w:rPr>
          <w:rFonts w:hint="eastAsia" w:ascii="ˎ̥" w:hAnsi="ˎ̥" w:eastAsia="宋体" w:cs="Times New Roman"/>
          <w:sz w:val="24"/>
          <w:highlight w:val="none"/>
          <w:lang w:eastAsia="zh-CN"/>
        </w:rPr>
        <w:t>详见</w:t>
      </w:r>
      <w:r>
        <w:rPr>
          <w:rFonts w:ascii="ˎ̥" w:hAnsi="ˎ̥" w:eastAsia="宋体" w:cs="Times New Roman"/>
          <w:sz w:val="24"/>
          <w:highlight w:val="none"/>
        </w:rPr>
        <w:t>工程量清单所有项目。</w:t>
      </w:r>
    </w:p>
    <w:p w14:paraId="37974BF9">
      <w:pPr>
        <w:spacing w:line="360" w:lineRule="auto"/>
        <w:ind w:firstLine="240" w:firstLineChars="100"/>
        <w:rPr>
          <w:rFonts w:ascii="ˎ̥" w:hAnsi="ˎ̥" w:eastAsia="宋体" w:cs="Times New Roman"/>
          <w:sz w:val="24"/>
          <w:highlight w:val="none"/>
        </w:rPr>
      </w:pPr>
      <w:r>
        <w:rPr>
          <w:rFonts w:ascii="ˎ̥" w:hAnsi="ˎ̥" w:eastAsia="宋体" w:cs="Times New Roman"/>
          <w:sz w:val="24"/>
          <w:highlight w:val="none"/>
        </w:rPr>
        <w:t>2.5</w:t>
      </w:r>
      <w:r>
        <w:rPr>
          <w:rFonts w:hint="eastAsia" w:ascii="ˎ̥" w:hAnsi="ˎ̥" w:eastAsia="宋体" w:cs="Times New Roman"/>
          <w:sz w:val="24"/>
          <w:highlight w:val="none"/>
        </w:rPr>
        <w:t>标段划分：1个标段</w:t>
      </w:r>
    </w:p>
    <w:p w14:paraId="5E90A417">
      <w:pPr>
        <w:spacing w:line="360" w:lineRule="auto"/>
        <w:ind w:firstLine="240" w:firstLineChars="100"/>
        <w:rPr>
          <w:rFonts w:ascii="ˎ̥" w:hAnsi="ˎ̥" w:eastAsia="宋体" w:cs="Times New Roman"/>
          <w:sz w:val="24"/>
          <w:highlight w:val="none"/>
        </w:rPr>
      </w:pPr>
      <w:r>
        <w:rPr>
          <w:rFonts w:ascii="ˎ̥" w:hAnsi="ˎ̥" w:eastAsia="宋体" w:cs="Times New Roman"/>
          <w:sz w:val="24"/>
          <w:highlight w:val="none"/>
        </w:rPr>
        <w:t>2.6</w:t>
      </w:r>
      <w:r>
        <w:rPr>
          <w:rFonts w:hint="eastAsia" w:ascii="ˎ̥" w:hAnsi="ˎ̥" w:eastAsia="宋体" w:cs="Times New Roman"/>
          <w:sz w:val="24"/>
          <w:highlight w:val="none"/>
        </w:rPr>
        <w:t>质量要求：合格</w:t>
      </w:r>
    </w:p>
    <w:p w14:paraId="3D49A537">
      <w:pPr>
        <w:spacing w:line="360" w:lineRule="auto"/>
        <w:rPr>
          <w:rFonts w:ascii="宋体" w:hAnsi="宋体" w:eastAsia="宋体" w:cs="Times New Roman"/>
          <w:b/>
          <w:bCs/>
          <w:sz w:val="28"/>
          <w:szCs w:val="28"/>
          <w:highlight w:val="none"/>
        </w:rPr>
      </w:pPr>
      <w:r>
        <w:rPr>
          <w:rFonts w:ascii="宋体" w:hAnsi="宋体" w:eastAsia="宋体" w:cs="Times New Roman"/>
          <w:b/>
          <w:bCs/>
          <w:sz w:val="28"/>
          <w:szCs w:val="28"/>
          <w:highlight w:val="none"/>
        </w:rPr>
        <w:t>3.</w:t>
      </w:r>
      <w:r>
        <w:rPr>
          <w:rFonts w:hint="eastAsia" w:ascii="宋体" w:hAnsi="宋体" w:eastAsia="宋体" w:cs="Times New Roman"/>
          <w:b/>
          <w:bCs/>
          <w:sz w:val="28"/>
          <w:szCs w:val="28"/>
          <w:highlight w:val="none"/>
        </w:rPr>
        <w:t>投标人资格要求</w:t>
      </w:r>
    </w:p>
    <w:p w14:paraId="38A99C66">
      <w:pPr>
        <w:widowControl/>
        <w:spacing w:line="360" w:lineRule="auto"/>
        <w:jc w:val="left"/>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 xml:space="preserve">    </w:t>
      </w:r>
      <w:r>
        <w:rPr>
          <w:rFonts w:ascii="Times New Roman" w:hAnsi="Times New Roman" w:eastAsia="宋体" w:cs="Times New Roman"/>
          <w:sz w:val="24"/>
          <w:highlight w:val="none"/>
        </w:rPr>
        <w:t>3.1</w:t>
      </w:r>
      <w:r>
        <w:rPr>
          <w:rFonts w:hint="eastAsia" w:ascii="Times New Roman" w:hAnsi="Times New Roman" w:eastAsia="宋体" w:cs="Times New Roman"/>
          <w:sz w:val="24"/>
          <w:highlight w:val="none"/>
        </w:rPr>
        <w:t>投标人须</w:t>
      </w:r>
      <w:r>
        <w:rPr>
          <w:rFonts w:hint="eastAsia" w:ascii="ˎ̥" w:hAnsi="ˎ̥" w:eastAsia="宋体" w:cs="Times New Roman"/>
          <w:sz w:val="24"/>
          <w:highlight w:val="none"/>
        </w:rPr>
        <w:t>具</w:t>
      </w:r>
      <w:r>
        <w:rPr>
          <w:rFonts w:hint="eastAsia" w:ascii="Times New Roman" w:hAnsi="Times New Roman" w:eastAsia="宋体" w:cs="Times New Roman"/>
          <w:sz w:val="24"/>
          <w:highlight w:val="none"/>
        </w:rPr>
        <w:t>备</w:t>
      </w:r>
      <w:r>
        <w:rPr>
          <w:rFonts w:hint="eastAsia" w:ascii="Times New Roman" w:hAnsi="Times New Roman" w:eastAsia="宋体" w:cs="Times New Roman"/>
          <w:sz w:val="24"/>
          <w:highlight w:val="none"/>
          <w:lang w:val="en-US" w:eastAsia="zh-CN"/>
        </w:rPr>
        <w:t>水利水电施工总承包</w:t>
      </w:r>
      <w:r>
        <w:rPr>
          <w:rFonts w:hint="eastAsia" w:ascii="Times New Roman" w:hAnsi="Times New Roman" w:eastAsia="宋体" w:cs="Times New Roman"/>
          <w:sz w:val="24"/>
          <w:highlight w:val="none"/>
        </w:rPr>
        <w:t>叁级及以上资质，具备安全生产条件，取得安全生产许可证（指全国一体化政务服务平台标准电子证照，相关规定不作要求的除外）,并在人员、设备、资金等方面具有相应的施工能力</w:t>
      </w:r>
      <w:r>
        <w:rPr>
          <w:rFonts w:hint="eastAsia" w:ascii="Times New Roman" w:hAnsi="Times New Roman" w:eastAsia="宋体" w:cs="Times New Roman"/>
          <w:color w:val="0000FF"/>
          <w:sz w:val="24"/>
          <w:highlight w:val="none"/>
          <w:lang w:eastAsia="zh-CN"/>
        </w:rPr>
        <w:t>，</w:t>
      </w:r>
      <w:r>
        <w:rPr>
          <w:rFonts w:hint="eastAsia" w:ascii="Times New Roman" w:hAnsi="Times New Roman" w:eastAsia="宋体" w:cs="Times New Roman"/>
          <w:color w:val="0000FF"/>
          <w:sz w:val="24"/>
          <w:highlight w:val="none"/>
          <w:lang w:val="en-US" w:eastAsia="zh-CN"/>
        </w:rPr>
        <w:t>须同时配备专职安全员和电工各一名（二者均需要提供相应证书）</w:t>
      </w:r>
      <w:r>
        <w:rPr>
          <w:rFonts w:hint="eastAsia" w:ascii="Times New Roman" w:hAnsi="Times New Roman" w:eastAsia="宋体" w:cs="Times New Roman"/>
          <w:sz w:val="24"/>
          <w:highlight w:val="none"/>
        </w:rPr>
        <w:t>。</w:t>
      </w:r>
    </w:p>
    <w:p w14:paraId="00930194">
      <w:pPr>
        <w:widowControl/>
        <w:spacing w:line="360" w:lineRule="auto"/>
        <w:jc w:val="left"/>
        <w:rPr>
          <w:rFonts w:hint="eastAsia" w:ascii="宋体" w:hAnsi="宋体" w:eastAsia="宋体" w:cs="宋体"/>
          <w:color w:val="000000"/>
          <w:kern w:val="0"/>
          <w:sz w:val="24"/>
          <w:highlight w:val="none"/>
          <w:shd w:val="clear" w:color="auto" w:fill="FFFFFF"/>
        </w:rPr>
      </w:pPr>
      <w:r>
        <w:rPr>
          <w:rFonts w:hint="eastAsia" w:ascii="Times New Roman" w:hAnsi="Times New Roman" w:eastAsia="宋体" w:cs="Times New Roman"/>
          <w:sz w:val="24"/>
          <w:highlight w:val="none"/>
          <w:lang w:val="en-US" w:eastAsia="zh-CN"/>
        </w:rPr>
        <w:t xml:space="preserve">    3.2</w:t>
      </w:r>
      <w:r>
        <w:rPr>
          <w:rFonts w:hint="eastAsia" w:ascii="Times New Roman" w:hAnsi="Times New Roman" w:eastAsia="宋体" w:cs="Times New Roman"/>
          <w:sz w:val="24"/>
          <w:highlight w:val="none"/>
        </w:rPr>
        <w:t>投标人拟派项目负责人须具备</w:t>
      </w:r>
      <w:r>
        <w:rPr>
          <w:rFonts w:hint="eastAsia" w:ascii="Times New Roman" w:hAnsi="Times New Roman" w:eastAsia="宋体" w:cs="Times New Roman"/>
          <w:sz w:val="24"/>
          <w:highlight w:val="none"/>
          <w:lang w:val="en-US" w:eastAsia="zh-CN"/>
        </w:rPr>
        <w:t>水利水电</w:t>
      </w:r>
      <w:r>
        <w:rPr>
          <w:rFonts w:hint="eastAsia" w:ascii="Times New Roman" w:hAnsi="Times New Roman" w:eastAsia="宋体" w:cs="Times New Roman"/>
          <w:sz w:val="24"/>
          <w:highlight w:val="none"/>
        </w:rPr>
        <w:t>专业贰级及以上注册建造师执业资格，</w:t>
      </w:r>
      <w:r>
        <w:rPr>
          <w:rFonts w:hint="eastAsia" w:ascii="Times New Roman" w:hAnsi="Times New Roman" w:eastAsia="宋体" w:cs="Times New Roman"/>
          <w:sz w:val="24"/>
          <w:highlight w:val="none"/>
          <w:lang w:val="en-US" w:eastAsia="zh-CN"/>
        </w:rPr>
        <w:t>拟派项目负责人与专职安全员均须</w:t>
      </w:r>
      <w:r>
        <w:rPr>
          <w:rFonts w:hint="eastAsia" w:ascii="Times New Roman" w:hAnsi="Times New Roman" w:eastAsia="宋体" w:cs="Times New Roman"/>
          <w:sz w:val="24"/>
          <w:highlight w:val="none"/>
        </w:rPr>
        <w:t>具备有效的</w:t>
      </w:r>
      <w:r>
        <w:rPr>
          <w:rFonts w:hint="eastAsia" w:ascii="Times New Roman" w:hAnsi="Times New Roman" w:eastAsia="宋体" w:cs="Times New Roman"/>
          <w:sz w:val="24"/>
          <w:highlight w:val="none"/>
          <w:lang w:val="en-US" w:eastAsia="zh-CN"/>
        </w:rPr>
        <w:t>水利行政主管部门颁发的对应的</w:t>
      </w:r>
      <w:r>
        <w:rPr>
          <w:rFonts w:hint="eastAsia" w:ascii="Times New Roman" w:hAnsi="Times New Roman" w:eastAsia="宋体" w:cs="Times New Roman"/>
          <w:sz w:val="24"/>
          <w:highlight w:val="none"/>
        </w:rPr>
        <w:t>安全生产考核合格证书</w:t>
      </w:r>
      <w:r>
        <w:rPr>
          <w:rFonts w:hint="eastAsia" w:ascii="Times New Roman" w:hAnsi="Times New Roman" w:eastAsia="宋体" w:cs="Times New Roman"/>
          <w:sz w:val="24"/>
          <w:highlight w:val="none"/>
          <w:lang w:eastAsia="zh-CN"/>
        </w:rPr>
        <w:t>。</w:t>
      </w:r>
      <w:r>
        <w:rPr>
          <w:rFonts w:hint="eastAsia" w:ascii="Times New Roman" w:hAnsi="Times New Roman" w:eastAsia="宋体" w:cs="Times New Roman"/>
          <w:sz w:val="24"/>
          <w:highlight w:val="none"/>
        </w:rPr>
        <w:t>同时必须满足下列条件：</w:t>
      </w:r>
    </w:p>
    <w:p w14:paraId="3632DE95">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3.2.1拟派项目负责人不得同时在两个或者两个以上单位受聘或者执业（指同时在两个及以上单位签订劳动合同或交纳社会保险或将本人执（职）业资格证书同时注册在两个及以上单位）。</w:t>
      </w:r>
    </w:p>
    <w:p w14:paraId="40EBE810">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3.2.</w:t>
      </w:r>
      <w:r>
        <w:rPr>
          <w:rFonts w:hint="eastAsia" w:ascii="宋体" w:hAnsi="宋体" w:eastAsia="宋体" w:cs="宋体"/>
          <w:color w:val="000000"/>
          <w:kern w:val="0"/>
          <w:sz w:val="24"/>
          <w:highlight w:val="none"/>
          <w:shd w:val="clear" w:color="auto" w:fill="FFFFFF"/>
          <w:lang w:val="en-US" w:eastAsia="zh-CN"/>
        </w:rPr>
        <w:t>2</w:t>
      </w:r>
      <w:r>
        <w:rPr>
          <w:rFonts w:hint="eastAsia" w:ascii="宋体" w:hAnsi="宋体" w:eastAsia="宋体" w:cs="宋体"/>
          <w:color w:val="000000"/>
          <w:kern w:val="0"/>
          <w:sz w:val="24"/>
          <w:highlight w:val="none"/>
          <w:shd w:val="clear" w:color="auto" w:fill="FFFFFF"/>
        </w:rPr>
        <w:t>拟派项目负责人无行贿犯罪行为记录；或有行贿犯罪行为记录，但自记录之日起已超过5年的。</w:t>
      </w:r>
    </w:p>
    <w:p w14:paraId="489E49A3">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3.2.</w:t>
      </w:r>
      <w:r>
        <w:rPr>
          <w:rFonts w:hint="eastAsia" w:ascii="宋体" w:hAnsi="宋体" w:eastAsia="宋体" w:cs="宋体"/>
          <w:color w:val="000000"/>
          <w:kern w:val="0"/>
          <w:sz w:val="24"/>
          <w:highlight w:val="none"/>
          <w:shd w:val="clear" w:color="auto" w:fill="FFFFFF"/>
          <w:lang w:val="en-US" w:eastAsia="zh-CN"/>
        </w:rPr>
        <w:t>3</w:t>
      </w:r>
      <w:r>
        <w:rPr>
          <w:rFonts w:hint="eastAsia" w:ascii="宋体" w:hAnsi="宋体" w:eastAsia="宋体" w:cs="宋体"/>
          <w:color w:val="000000"/>
          <w:kern w:val="0"/>
          <w:sz w:val="24"/>
          <w:highlight w:val="none"/>
          <w:shd w:val="clear" w:color="auto" w:fill="FFFFFF"/>
        </w:rPr>
        <w:t>项目负责人</w:t>
      </w:r>
      <w:r>
        <w:rPr>
          <w:rFonts w:hint="eastAsia" w:ascii="宋体" w:hAnsi="宋体" w:eastAsia="宋体" w:cs="宋体"/>
          <w:color w:val="000000"/>
          <w:kern w:val="0"/>
          <w:sz w:val="24"/>
          <w:highlight w:val="none"/>
          <w:shd w:val="clear" w:color="auto" w:fill="FFFFFF"/>
          <w:lang w:eastAsia="zh-CN"/>
        </w:rPr>
        <w:t>、专职安全员、电工</w:t>
      </w:r>
      <w:r>
        <w:rPr>
          <w:rFonts w:hint="eastAsia" w:ascii="宋体" w:hAnsi="宋体" w:eastAsia="宋体" w:cs="宋体"/>
          <w:color w:val="000000"/>
          <w:kern w:val="0"/>
          <w:sz w:val="24"/>
          <w:highlight w:val="none"/>
          <w:shd w:val="clear" w:color="auto" w:fill="FFFFFF"/>
        </w:rPr>
        <w:t>为本单位正式职工，并提供近三个月投标单位为其办理的社保交费清单（指</w:t>
      </w:r>
      <w:r>
        <w:rPr>
          <w:rFonts w:hint="eastAsia" w:ascii="宋体" w:hAnsi="宋体" w:eastAsia="宋体" w:cs="宋体"/>
          <w:color w:val="000000"/>
          <w:kern w:val="0"/>
          <w:sz w:val="24"/>
          <w:highlight w:val="none"/>
          <w:shd w:val="clear" w:color="auto" w:fill="FFFFFF"/>
          <w:lang w:eastAsia="zh-CN"/>
        </w:rPr>
        <w:t>2024年3月-2024年8月</w:t>
      </w:r>
      <w:r>
        <w:rPr>
          <w:rFonts w:hint="eastAsia" w:ascii="宋体" w:hAnsi="宋体" w:eastAsia="宋体" w:cs="宋体"/>
          <w:color w:val="000000"/>
          <w:kern w:val="0"/>
          <w:sz w:val="24"/>
          <w:highlight w:val="none"/>
          <w:shd w:val="clear" w:color="auto" w:fill="FFFFFF"/>
        </w:rPr>
        <w:t>任意连续三个月，法定代表人不需提供），如有人员已调出仍用于本工程的，视为弄虚作假并查处；本工程不接受退休续聘的项目负责人投标。</w:t>
      </w:r>
    </w:p>
    <w:p w14:paraId="3099D836">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3.3投标人不得存在下列情形之一：</w:t>
      </w:r>
    </w:p>
    <w:p w14:paraId="313B5C97">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3.3.1为招标人不具有独立法人资格的附属机构（单位）；</w:t>
      </w:r>
    </w:p>
    <w:p w14:paraId="7BC13689">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3.3.2为本招标项目的监理人、代建人、项目管理人，以及为本招标项目提供招标代理服务的；</w:t>
      </w:r>
    </w:p>
    <w:p w14:paraId="10E30BF9">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3.3.3与本招标项目的代建人、招标代理机构同为一个法定代表人的，或者相互控股、参股的；</w:t>
      </w:r>
    </w:p>
    <w:p w14:paraId="685465B5">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3.3.4与招标人存在利害关系可能影响招标公正性的；</w:t>
      </w:r>
    </w:p>
    <w:p w14:paraId="55D080E9">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3.3.5单位负责人为同一人或者存在控股、管理关系的不同单位；</w:t>
      </w:r>
    </w:p>
    <w:p w14:paraId="22A1C94B">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3.3.6处于被责令停业、财产被接管、冻结和破产状态，以及投标资格被取消或者被暂停且在暂停期内；</w:t>
      </w:r>
    </w:p>
    <w:p w14:paraId="4FEBD7D6">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3.3.7因拖欠工人工资或者发生质量安全事故被有关部门限制在招标项目所在地承接工程的；</w:t>
      </w:r>
    </w:p>
    <w:p w14:paraId="0C3FBCA4">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3.3.8投标人近3年内有行贿犯罪行为且被记录，或者法定代表人有行贿犯罪记录且自记录之日起未超过5年的；</w:t>
      </w:r>
    </w:p>
    <w:p w14:paraId="0C61F2F8">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3.3.9投标人正被人民法院列为失信被执行人的（详见苏信用办[2018]23号）。</w:t>
      </w:r>
    </w:p>
    <w:p w14:paraId="6A9682F0">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3.4本次招标不接受联合体投标。</w:t>
      </w:r>
    </w:p>
    <w:p w14:paraId="23EEEF1C">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3.5各投标人均可就本招标项目上述标段中的1个标段投标。</w:t>
      </w:r>
    </w:p>
    <w:p w14:paraId="20DC7C3D">
      <w:pPr>
        <w:spacing w:before="100" w:after="100" w:line="360" w:lineRule="auto"/>
        <w:ind w:firstLine="630"/>
        <w:contextualSpacing/>
        <w:rPr>
          <w:rFonts w:hint="eastAsia"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3.6投标人不得以被锁定的资质进行投标。</w:t>
      </w:r>
    </w:p>
    <w:p w14:paraId="594BF72F">
      <w:pPr>
        <w:spacing w:before="100" w:after="100" w:line="360" w:lineRule="auto"/>
        <w:ind w:firstLine="630"/>
        <w:contextualSpacing/>
        <w:rPr>
          <w:rFonts w:ascii="宋体" w:hAnsi="宋体" w:eastAsia="宋体" w:cs="宋体"/>
          <w:color w:val="000000"/>
          <w:kern w:val="0"/>
          <w:sz w:val="24"/>
          <w:highlight w:val="none"/>
          <w:shd w:val="clear" w:color="auto" w:fill="FFFFFF"/>
        </w:rPr>
      </w:pPr>
      <w:r>
        <w:rPr>
          <w:rFonts w:hint="eastAsia" w:ascii="宋体" w:hAnsi="宋体" w:eastAsia="宋体" w:cs="宋体"/>
          <w:color w:val="000000"/>
          <w:kern w:val="0"/>
          <w:sz w:val="24"/>
          <w:highlight w:val="none"/>
          <w:shd w:val="clear" w:color="auto" w:fill="FFFFFF"/>
        </w:rPr>
        <w:t>3.7符合法律法规规定的其它要求。</w:t>
      </w:r>
    </w:p>
    <w:p w14:paraId="3592A714">
      <w:pPr>
        <w:spacing w:line="360" w:lineRule="auto"/>
        <w:rPr>
          <w:rFonts w:ascii="宋体" w:hAnsi="宋体" w:eastAsia="宋体" w:cs="Times New Roman"/>
          <w:b/>
          <w:bCs/>
          <w:sz w:val="28"/>
          <w:szCs w:val="28"/>
          <w:highlight w:val="none"/>
        </w:rPr>
      </w:pPr>
      <w:r>
        <w:rPr>
          <w:rFonts w:ascii="宋体" w:hAnsi="宋体" w:eastAsia="宋体" w:cs="Times New Roman"/>
          <w:b/>
          <w:bCs/>
          <w:sz w:val="28"/>
          <w:szCs w:val="28"/>
          <w:highlight w:val="none"/>
        </w:rPr>
        <w:t>4.</w:t>
      </w:r>
      <w:r>
        <w:rPr>
          <w:rFonts w:hint="eastAsia" w:ascii="宋体" w:hAnsi="宋体" w:eastAsia="宋体" w:cs="Times New Roman"/>
          <w:b/>
          <w:bCs/>
          <w:sz w:val="28"/>
          <w:szCs w:val="28"/>
          <w:highlight w:val="none"/>
        </w:rPr>
        <w:t>投标报名及招标文件的获取</w:t>
      </w:r>
    </w:p>
    <w:p w14:paraId="6F2D0EEB">
      <w:pPr>
        <w:spacing w:line="360" w:lineRule="auto"/>
        <w:ind w:firstLine="480" w:firstLineChars="200"/>
        <w:rPr>
          <w:rFonts w:hint="eastAsia" w:ascii="宋体" w:hAnsi="宋体" w:eastAsia="宋体" w:cs="楷体"/>
          <w:color w:val="000000"/>
          <w:sz w:val="24"/>
          <w:highlight w:val="none"/>
        </w:rPr>
      </w:pPr>
      <w:r>
        <w:rPr>
          <w:rFonts w:hint="eastAsia" w:ascii="宋体" w:hAnsi="宋体" w:eastAsia="宋体" w:cs="楷体"/>
          <w:color w:val="000000"/>
          <w:sz w:val="24"/>
          <w:highlight w:val="none"/>
        </w:rPr>
        <w:t>4.</w:t>
      </w:r>
      <w:r>
        <w:rPr>
          <w:rFonts w:hint="eastAsia" w:ascii="宋体" w:hAnsi="宋体" w:eastAsia="宋体" w:cs="楷体"/>
          <w:color w:val="000000"/>
          <w:sz w:val="24"/>
          <w:highlight w:val="none"/>
          <w:lang w:val="en-US"/>
        </w:rPr>
        <w:t>1</w:t>
      </w:r>
      <w:r>
        <w:rPr>
          <w:rFonts w:hint="eastAsia" w:ascii="宋体" w:hAnsi="宋体" w:eastAsia="宋体" w:cs="楷体"/>
          <w:color w:val="000000"/>
          <w:sz w:val="24"/>
          <w:highlight w:val="none"/>
        </w:rPr>
        <w:t>获取招标文件的时间：</w:t>
      </w:r>
      <w:r>
        <w:rPr>
          <w:rFonts w:hint="eastAsia" w:ascii="宋体" w:hAnsi="宋体" w:eastAsia="宋体" w:cs="楷体"/>
          <w:color w:val="000000"/>
          <w:sz w:val="24"/>
          <w:highlight w:val="none"/>
          <w:u w:val="single"/>
          <w:lang w:val="en-US" w:eastAsia="zh-CN"/>
        </w:rPr>
        <w:t>2024</w:t>
      </w:r>
      <w:r>
        <w:rPr>
          <w:rFonts w:hint="eastAsia" w:ascii="宋体" w:hAnsi="宋体" w:eastAsia="宋体" w:cs="楷体"/>
          <w:color w:val="000000"/>
          <w:sz w:val="24"/>
          <w:highlight w:val="none"/>
          <w:u w:val="single"/>
        </w:rPr>
        <w:t>年</w:t>
      </w:r>
      <w:r>
        <w:rPr>
          <w:rFonts w:hint="eastAsia" w:ascii="宋体" w:hAnsi="宋体" w:eastAsia="宋体" w:cs="楷体"/>
          <w:color w:val="000000"/>
          <w:sz w:val="24"/>
          <w:highlight w:val="none"/>
          <w:u w:val="single"/>
          <w:lang w:val="en-US" w:eastAsia="zh-CN"/>
        </w:rPr>
        <w:t>8</w:t>
      </w:r>
      <w:r>
        <w:rPr>
          <w:rFonts w:hint="eastAsia" w:ascii="宋体" w:hAnsi="宋体" w:eastAsia="宋体" w:cs="楷体"/>
          <w:color w:val="000000"/>
          <w:sz w:val="24"/>
          <w:highlight w:val="none"/>
          <w:u w:val="single"/>
        </w:rPr>
        <w:t>月</w:t>
      </w:r>
      <w:r>
        <w:rPr>
          <w:rFonts w:hint="eastAsia" w:ascii="宋体" w:hAnsi="宋体" w:eastAsia="宋体" w:cs="楷体"/>
          <w:color w:val="000000"/>
          <w:sz w:val="24"/>
          <w:highlight w:val="none"/>
          <w:u w:val="single"/>
          <w:lang w:val="en-US" w:eastAsia="zh-CN"/>
        </w:rPr>
        <w:t>21</w:t>
      </w:r>
      <w:r>
        <w:rPr>
          <w:rFonts w:hint="eastAsia" w:ascii="宋体" w:hAnsi="宋体" w:eastAsia="宋体" w:cs="楷体"/>
          <w:color w:val="000000"/>
          <w:sz w:val="24"/>
          <w:highlight w:val="none"/>
          <w:u w:val="single"/>
        </w:rPr>
        <w:t>日至</w:t>
      </w:r>
      <w:r>
        <w:rPr>
          <w:rFonts w:hint="eastAsia" w:ascii="宋体" w:hAnsi="宋体" w:eastAsia="宋体" w:cs="楷体"/>
          <w:color w:val="000000"/>
          <w:sz w:val="24"/>
          <w:highlight w:val="none"/>
          <w:u w:val="single"/>
          <w:lang w:val="en-US" w:eastAsia="zh-CN"/>
        </w:rPr>
        <w:t xml:space="preserve"> 2024</w:t>
      </w:r>
      <w:r>
        <w:rPr>
          <w:rFonts w:hint="eastAsia" w:ascii="宋体" w:hAnsi="宋体" w:eastAsia="宋体" w:cs="楷体"/>
          <w:color w:val="000000"/>
          <w:sz w:val="24"/>
          <w:highlight w:val="none"/>
          <w:u w:val="single"/>
        </w:rPr>
        <w:t>年</w:t>
      </w:r>
      <w:r>
        <w:rPr>
          <w:rFonts w:hint="eastAsia" w:ascii="宋体" w:hAnsi="宋体" w:eastAsia="宋体" w:cs="楷体"/>
          <w:color w:val="000000"/>
          <w:sz w:val="24"/>
          <w:highlight w:val="none"/>
          <w:u w:val="single"/>
          <w:lang w:val="en-US" w:eastAsia="zh-CN"/>
        </w:rPr>
        <w:t>8</w:t>
      </w:r>
      <w:r>
        <w:rPr>
          <w:rFonts w:hint="eastAsia" w:ascii="宋体" w:hAnsi="宋体" w:eastAsia="宋体" w:cs="楷体"/>
          <w:color w:val="000000"/>
          <w:sz w:val="24"/>
          <w:highlight w:val="none"/>
          <w:u w:val="single"/>
        </w:rPr>
        <w:t>月</w:t>
      </w:r>
      <w:r>
        <w:rPr>
          <w:rFonts w:hint="eastAsia" w:ascii="宋体" w:hAnsi="宋体" w:eastAsia="宋体" w:cs="楷体"/>
          <w:color w:val="000000"/>
          <w:sz w:val="24"/>
          <w:highlight w:val="none"/>
          <w:u w:val="single"/>
          <w:lang w:val="en-US" w:eastAsia="zh-CN"/>
        </w:rPr>
        <w:t>28</w:t>
      </w:r>
      <w:r>
        <w:rPr>
          <w:rFonts w:hint="eastAsia" w:ascii="宋体" w:hAnsi="宋体" w:eastAsia="宋体" w:cs="楷体"/>
          <w:color w:val="000000"/>
          <w:sz w:val="24"/>
          <w:highlight w:val="none"/>
          <w:u w:val="single"/>
        </w:rPr>
        <w:t>日</w:t>
      </w:r>
      <w:r>
        <w:rPr>
          <w:rFonts w:hint="eastAsia" w:ascii="宋体" w:hAnsi="宋体" w:eastAsia="宋体" w:cs="楷体"/>
          <w:color w:val="000000"/>
          <w:sz w:val="24"/>
          <w:highlight w:val="none"/>
          <w:lang w:eastAsia="zh-CN"/>
        </w:rPr>
        <w:t>。</w:t>
      </w:r>
      <w:r>
        <w:rPr>
          <w:rFonts w:hint="eastAsia" w:ascii="宋体" w:hAnsi="宋体" w:eastAsia="宋体" w:cs="楷体"/>
          <w:color w:val="000000"/>
          <w:sz w:val="24"/>
          <w:highlight w:val="none"/>
        </w:rPr>
        <w:t>凡有意参加</w:t>
      </w:r>
      <w:r>
        <w:rPr>
          <w:rFonts w:hint="eastAsia" w:ascii="宋体" w:hAnsi="宋体" w:eastAsia="宋体" w:cs="楷体"/>
          <w:color w:val="000000"/>
          <w:sz w:val="24"/>
          <w:highlight w:val="none"/>
          <w:lang w:eastAsia="zh-CN"/>
        </w:rPr>
        <w:t>的</w:t>
      </w:r>
      <w:r>
        <w:rPr>
          <w:rFonts w:hint="eastAsia" w:ascii="宋体" w:hAnsi="宋体" w:eastAsia="宋体" w:cs="楷体"/>
          <w:color w:val="000000"/>
          <w:sz w:val="24"/>
          <w:highlight w:val="none"/>
        </w:rPr>
        <w:t>投标</w:t>
      </w:r>
      <w:r>
        <w:rPr>
          <w:rFonts w:hint="eastAsia" w:ascii="宋体" w:hAnsi="宋体" w:eastAsia="宋体" w:cs="楷体"/>
          <w:color w:val="000000"/>
          <w:sz w:val="24"/>
          <w:highlight w:val="none"/>
          <w:lang w:eastAsia="zh-CN"/>
        </w:rPr>
        <w:t>人按要求</w:t>
      </w:r>
      <w:r>
        <w:rPr>
          <w:rFonts w:hint="eastAsia" w:ascii="宋体" w:hAnsi="宋体" w:eastAsia="宋体" w:cs="楷体"/>
          <w:color w:val="000000"/>
          <w:sz w:val="24"/>
          <w:highlight w:val="none"/>
          <w:lang w:val="en-US" w:eastAsia="zh-CN"/>
        </w:rPr>
        <w:t>在投标文件递交时间截止前</w:t>
      </w:r>
      <w:r>
        <w:rPr>
          <w:rFonts w:hint="eastAsia" w:ascii="宋体" w:hAnsi="宋体" w:eastAsia="宋体" w:cs="楷体"/>
          <w:color w:val="000000"/>
          <w:sz w:val="24"/>
          <w:highlight w:val="none"/>
          <w:lang w:eastAsia="zh-CN"/>
        </w:rPr>
        <w:t>缴纳投标保证金及标前资格预审通过后即报名成功。</w:t>
      </w:r>
      <w:r>
        <w:rPr>
          <w:rFonts w:hint="eastAsia" w:ascii="宋体" w:hAnsi="宋体" w:eastAsia="宋体" w:cs="楷体"/>
          <w:color w:val="000000"/>
          <w:sz w:val="24"/>
          <w:highlight w:val="none"/>
          <w:lang w:val="en-US" w:eastAsia="zh-CN"/>
        </w:rPr>
        <w:t>招标文件每份300元，在递交投标文件时收取（售后不退，招标活动终止的情况除外）。</w:t>
      </w:r>
    </w:p>
    <w:p w14:paraId="28A844F2">
      <w:pPr>
        <w:spacing w:line="360" w:lineRule="auto"/>
        <w:ind w:firstLine="480" w:firstLineChars="200"/>
        <w:rPr>
          <w:rFonts w:hint="eastAsia" w:ascii="宋体" w:hAnsi="宋体" w:eastAsia="宋体" w:cs="楷体"/>
          <w:color w:val="000000"/>
          <w:sz w:val="24"/>
          <w:highlight w:val="none"/>
          <w:lang w:val="en-US" w:eastAsia="zh-CN"/>
        </w:rPr>
      </w:pPr>
      <w:r>
        <w:rPr>
          <w:rFonts w:hint="eastAsia" w:ascii="宋体" w:hAnsi="宋体" w:eastAsia="宋体" w:cs="楷体"/>
          <w:color w:val="000000"/>
          <w:sz w:val="24"/>
          <w:highlight w:val="none"/>
          <w:lang w:val="en-US" w:eastAsia="zh-CN"/>
        </w:rPr>
        <w:t>4.2招标人根据项目的实际情况，要求投标人在2024年8月21日17:00至2024年8月28日14:20前须交纳投标保证金</w:t>
      </w:r>
      <w:r>
        <w:rPr>
          <w:rFonts w:hint="eastAsia" w:ascii="宋体" w:hAnsi="宋体" w:eastAsia="宋体" w:cs="楷体"/>
          <w:b/>
          <w:bCs/>
          <w:color w:val="000000"/>
          <w:sz w:val="24"/>
          <w:highlight w:val="none"/>
          <w:lang w:val="en-US" w:eastAsia="zh-CN"/>
        </w:rPr>
        <w:t>叁仟元人民币</w:t>
      </w:r>
      <w:r>
        <w:rPr>
          <w:rFonts w:hint="eastAsia" w:ascii="宋体" w:hAnsi="宋体" w:eastAsia="宋体" w:cs="楷体"/>
          <w:color w:val="000000"/>
          <w:sz w:val="24"/>
          <w:highlight w:val="none"/>
          <w:lang w:val="en-US" w:eastAsia="zh-CN"/>
        </w:rPr>
        <w:t>。交纳投标保证金的单位名称必须与参加投标的投标人名称一致，且在投标截止时间前到达以下指定账户：</w:t>
      </w:r>
    </w:p>
    <w:tbl>
      <w:tblPr>
        <w:tblStyle w:val="3"/>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6"/>
        <w:gridCol w:w="4197"/>
        <w:gridCol w:w="917"/>
        <w:gridCol w:w="2488"/>
      </w:tblGrid>
      <w:tr w14:paraId="5D7B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1976" w:type="dxa"/>
            <w:noWrap w:val="0"/>
            <w:vAlign w:val="center"/>
          </w:tcPr>
          <w:p w14:paraId="41DBBCA5">
            <w:pPr>
              <w:spacing w:line="240" w:lineRule="auto"/>
              <w:jc w:val="center"/>
              <w:rPr>
                <w:rFonts w:hint="eastAsia" w:ascii="宋体" w:hAnsi="宋体" w:eastAsia="宋体" w:cs="楷体"/>
                <w:color w:val="000000"/>
                <w:sz w:val="24"/>
                <w:highlight w:val="none"/>
                <w:lang w:val="zh-CN"/>
              </w:rPr>
            </w:pPr>
            <w:r>
              <w:rPr>
                <w:rFonts w:hint="eastAsia" w:ascii="宋体" w:hAnsi="宋体" w:eastAsia="宋体" w:cs="楷体"/>
                <w:color w:val="000000"/>
                <w:sz w:val="24"/>
                <w:highlight w:val="none"/>
              </w:rPr>
              <w:t>交纳投标保证金账户名称</w:t>
            </w:r>
          </w:p>
        </w:tc>
        <w:tc>
          <w:tcPr>
            <w:tcW w:w="4197" w:type="dxa"/>
            <w:noWrap w:val="0"/>
            <w:vAlign w:val="center"/>
          </w:tcPr>
          <w:p w14:paraId="525D906A">
            <w:pPr>
              <w:jc w:val="center"/>
              <w:rPr>
                <w:rFonts w:hint="eastAsia" w:ascii="宋体" w:hAnsi="宋体" w:eastAsia="宋体" w:cs="楷体"/>
                <w:b/>
                <w:bCs/>
                <w:color w:val="000000"/>
                <w:sz w:val="24"/>
                <w:szCs w:val="24"/>
                <w:highlight w:val="none"/>
                <w:lang w:val="zh-CN"/>
              </w:rPr>
            </w:pPr>
            <w:r>
              <w:rPr>
                <w:rFonts w:hint="eastAsia" w:ascii="宋体" w:hAnsi="宋体" w:eastAsia="宋体" w:cs="楷体"/>
                <w:b/>
                <w:bCs/>
                <w:color w:val="000000"/>
                <w:sz w:val="24"/>
                <w:szCs w:val="24"/>
                <w:highlight w:val="none"/>
                <w:lang w:val="zh-CN"/>
              </w:rPr>
              <w:t>宜兴市公用环保集团有限公司</w:t>
            </w:r>
          </w:p>
        </w:tc>
        <w:tc>
          <w:tcPr>
            <w:tcW w:w="917" w:type="dxa"/>
            <w:vMerge w:val="restart"/>
            <w:noWrap w:val="0"/>
            <w:vAlign w:val="center"/>
          </w:tcPr>
          <w:p w14:paraId="7EE0E6A7">
            <w:pPr>
              <w:spacing w:line="240" w:lineRule="auto"/>
              <w:jc w:val="center"/>
              <w:rPr>
                <w:rFonts w:hint="eastAsia" w:ascii="宋体" w:hAnsi="宋体" w:eastAsia="宋体" w:cs="楷体"/>
                <w:color w:val="000000"/>
                <w:sz w:val="24"/>
                <w:highlight w:val="none"/>
                <w:lang w:val="zh-CN"/>
              </w:rPr>
            </w:pPr>
            <w:r>
              <w:rPr>
                <w:rFonts w:hint="eastAsia" w:ascii="宋体" w:hAnsi="宋体" w:eastAsia="宋体" w:cs="楷体"/>
                <w:color w:val="000000"/>
                <w:sz w:val="24"/>
                <w:highlight w:val="none"/>
                <w:lang w:val="zh-CN"/>
              </w:rPr>
              <w:t>交纳</w:t>
            </w:r>
          </w:p>
          <w:p w14:paraId="76E0D1E8">
            <w:pPr>
              <w:spacing w:line="240" w:lineRule="auto"/>
              <w:jc w:val="center"/>
              <w:rPr>
                <w:rFonts w:hint="eastAsia" w:ascii="宋体" w:hAnsi="宋体" w:eastAsia="宋体" w:cs="楷体"/>
                <w:color w:val="000000"/>
                <w:sz w:val="24"/>
                <w:highlight w:val="none"/>
                <w:lang w:val="zh-CN"/>
              </w:rPr>
            </w:pPr>
            <w:r>
              <w:rPr>
                <w:rFonts w:hint="eastAsia" w:ascii="宋体" w:hAnsi="宋体" w:eastAsia="宋体" w:cs="楷体"/>
                <w:color w:val="000000"/>
                <w:sz w:val="24"/>
                <w:highlight w:val="none"/>
                <w:lang w:val="zh-CN"/>
              </w:rPr>
              <w:t>形式</w:t>
            </w:r>
          </w:p>
        </w:tc>
        <w:tc>
          <w:tcPr>
            <w:tcW w:w="2488" w:type="dxa"/>
            <w:vMerge w:val="restart"/>
            <w:noWrap w:val="0"/>
            <w:vAlign w:val="center"/>
          </w:tcPr>
          <w:p w14:paraId="274015A4">
            <w:pPr>
              <w:spacing w:line="240" w:lineRule="auto"/>
              <w:ind w:firstLine="482" w:firstLineChars="200"/>
              <w:rPr>
                <w:rFonts w:hint="eastAsia" w:ascii="宋体" w:hAnsi="宋体" w:eastAsia="宋体" w:cs="楷体"/>
                <w:color w:val="000000"/>
                <w:sz w:val="24"/>
                <w:highlight w:val="none"/>
                <w:lang w:val="zh-CN"/>
              </w:rPr>
            </w:pPr>
            <w:r>
              <w:rPr>
                <w:rFonts w:hint="eastAsia" w:ascii="宋体" w:hAnsi="宋体" w:eastAsia="宋体" w:cs="楷体"/>
                <w:b/>
                <w:bCs/>
                <w:color w:val="000000"/>
                <w:sz w:val="24"/>
                <w:highlight w:val="none"/>
              </w:rPr>
              <w:t>投标保证金的交纳形式限于转账（不接受其他形式的投标保证金）</w:t>
            </w:r>
          </w:p>
        </w:tc>
      </w:tr>
      <w:tr w14:paraId="5D44F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976" w:type="dxa"/>
            <w:noWrap w:val="0"/>
            <w:vAlign w:val="center"/>
          </w:tcPr>
          <w:p w14:paraId="6DEE3E6F">
            <w:pPr>
              <w:spacing w:line="360" w:lineRule="auto"/>
              <w:jc w:val="center"/>
              <w:rPr>
                <w:rFonts w:hint="eastAsia" w:ascii="宋体" w:hAnsi="宋体" w:eastAsia="宋体" w:cs="楷体"/>
                <w:b/>
                <w:bCs/>
                <w:color w:val="000000"/>
                <w:sz w:val="24"/>
                <w:highlight w:val="none"/>
                <w:lang w:val="zh-CN"/>
              </w:rPr>
            </w:pPr>
            <w:r>
              <w:rPr>
                <w:rFonts w:hint="eastAsia" w:ascii="宋体" w:hAnsi="宋体" w:eastAsia="宋体" w:cs="楷体"/>
                <w:color w:val="000000"/>
                <w:sz w:val="24"/>
                <w:highlight w:val="none"/>
                <w:lang w:val="zh-CN"/>
              </w:rPr>
              <w:t>开户银行</w:t>
            </w:r>
          </w:p>
        </w:tc>
        <w:tc>
          <w:tcPr>
            <w:tcW w:w="4197" w:type="dxa"/>
            <w:noWrap w:val="0"/>
            <w:vAlign w:val="center"/>
          </w:tcPr>
          <w:p w14:paraId="2623A357">
            <w:pPr>
              <w:jc w:val="center"/>
              <w:rPr>
                <w:rFonts w:hint="eastAsia" w:ascii="宋体" w:hAnsi="宋体" w:eastAsia="宋体" w:cs="楷体"/>
                <w:b/>
                <w:bCs/>
                <w:color w:val="000000"/>
                <w:sz w:val="24"/>
                <w:szCs w:val="24"/>
                <w:highlight w:val="none"/>
                <w:lang w:val="zh-CN" w:eastAsia="zh-CN"/>
              </w:rPr>
            </w:pPr>
            <w:r>
              <w:rPr>
                <w:rFonts w:hint="eastAsia" w:ascii="宋体" w:hAnsi="宋体" w:eastAsia="宋体" w:cs="楷体"/>
                <w:b/>
                <w:bCs/>
                <w:color w:val="000000"/>
                <w:sz w:val="24"/>
                <w:szCs w:val="24"/>
                <w:highlight w:val="none"/>
                <w:lang w:val="zh-CN" w:eastAsia="zh-CN"/>
              </w:rPr>
              <w:t>光大银行宜兴支行</w:t>
            </w:r>
          </w:p>
        </w:tc>
        <w:tc>
          <w:tcPr>
            <w:tcW w:w="917" w:type="dxa"/>
            <w:vMerge w:val="continue"/>
            <w:noWrap w:val="0"/>
            <w:vAlign w:val="center"/>
          </w:tcPr>
          <w:p w14:paraId="6C3333D2">
            <w:pPr>
              <w:spacing w:line="360" w:lineRule="auto"/>
              <w:ind w:firstLine="480" w:firstLineChars="200"/>
              <w:rPr>
                <w:rFonts w:hint="eastAsia" w:ascii="宋体" w:hAnsi="宋体" w:eastAsia="宋体" w:cs="楷体"/>
                <w:color w:val="000000"/>
                <w:sz w:val="24"/>
                <w:highlight w:val="none"/>
                <w:lang w:val="zh-CN"/>
              </w:rPr>
            </w:pPr>
          </w:p>
        </w:tc>
        <w:tc>
          <w:tcPr>
            <w:tcW w:w="2488" w:type="dxa"/>
            <w:vMerge w:val="continue"/>
            <w:noWrap w:val="0"/>
            <w:vAlign w:val="center"/>
          </w:tcPr>
          <w:p w14:paraId="3CAB6FA6">
            <w:pPr>
              <w:spacing w:line="360" w:lineRule="auto"/>
              <w:ind w:firstLine="480" w:firstLineChars="200"/>
              <w:rPr>
                <w:rFonts w:hint="eastAsia" w:ascii="宋体" w:hAnsi="宋体" w:eastAsia="宋体" w:cs="楷体"/>
                <w:color w:val="000000"/>
                <w:sz w:val="24"/>
                <w:highlight w:val="none"/>
                <w:lang w:val="zh-CN"/>
              </w:rPr>
            </w:pPr>
          </w:p>
        </w:tc>
      </w:tr>
      <w:tr w14:paraId="25D10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976" w:type="dxa"/>
            <w:noWrap w:val="0"/>
            <w:vAlign w:val="center"/>
          </w:tcPr>
          <w:p w14:paraId="19B78611">
            <w:pPr>
              <w:spacing w:line="360" w:lineRule="auto"/>
              <w:jc w:val="center"/>
              <w:rPr>
                <w:rFonts w:hint="eastAsia" w:ascii="宋体" w:hAnsi="宋体" w:eastAsia="宋体" w:cs="楷体"/>
                <w:color w:val="000000"/>
                <w:sz w:val="24"/>
                <w:highlight w:val="none"/>
                <w:lang w:val="zh-CN"/>
              </w:rPr>
            </w:pPr>
            <w:r>
              <w:rPr>
                <w:rFonts w:hint="eastAsia" w:ascii="宋体" w:hAnsi="宋体" w:eastAsia="宋体" w:cs="楷体"/>
                <w:color w:val="000000"/>
                <w:sz w:val="24"/>
                <w:highlight w:val="none"/>
                <w:lang w:val="zh-CN"/>
              </w:rPr>
              <w:t>账</w:t>
            </w:r>
            <w:r>
              <w:rPr>
                <w:rFonts w:hint="eastAsia" w:ascii="宋体" w:hAnsi="宋体" w:eastAsia="宋体" w:cs="楷体"/>
                <w:color w:val="000000"/>
                <w:sz w:val="24"/>
                <w:highlight w:val="none"/>
              </w:rPr>
              <w:t xml:space="preserve"> </w:t>
            </w:r>
            <w:r>
              <w:rPr>
                <w:rFonts w:hint="eastAsia" w:ascii="宋体" w:hAnsi="宋体" w:eastAsia="宋体" w:cs="楷体"/>
                <w:color w:val="000000"/>
                <w:sz w:val="24"/>
                <w:highlight w:val="none"/>
                <w:lang w:val="zh-CN"/>
              </w:rPr>
              <w:t>号</w:t>
            </w:r>
          </w:p>
        </w:tc>
        <w:tc>
          <w:tcPr>
            <w:tcW w:w="4197" w:type="dxa"/>
            <w:noWrap w:val="0"/>
            <w:vAlign w:val="center"/>
          </w:tcPr>
          <w:p w14:paraId="34D9443E">
            <w:pPr>
              <w:jc w:val="center"/>
              <w:rPr>
                <w:rFonts w:hint="default" w:ascii="宋体" w:hAnsi="宋体" w:eastAsia="宋体" w:cs="楷体"/>
                <w:b/>
                <w:bCs/>
                <w:color w:val="000000"/>
                <w:sz w:val="24"/>
                <w:highlight w:val="none"/>
                <w:lang w:val="en-US" w:eastAsia="zh-CN"/>
              </w:rPr>
            </w:pPr>
            <w:r>
              <w:rPr>
                <w:rFonts w:hint="eastAsia" w:ascii="宋体" w:hAnsi="宋体" w:eastAsia="宋体" w:cs="楷体"/>
                <w:b/>
                <w:bCs/>
                <w:color w:val="000000"/>
                <w:sz w:val="24"/>
                <w:highlight w:val="none"/>
                <w:lang w:val="en-US" w:eastAsia="zh-CN"/>
              </w:rPr>
              <w:t>51610188000248634</w:t>
            </w:r>
          </w:p>
        </w:tc>
        <w:tc>
          <w:tcPr>
            <w:tcW w:w="917" w:type="dxa"/>
            <w:vMerge w:val="continue"/>
            <w:noWrap w:val="0"/>
            <w:vAlign w:val="center"/>
          </w:tcPr>
          <w:p w14:paraId="4C4C2813">
            <w:pPr>
              <w:spacing w:line="360" w:lineRule="auto"/>
              <w:ind w:firstLine="480" w:firstLineChars="200"/>
              <w:rPr>
                <w:rFonts w:hint="eastAsia" w:ascii="宋体" w:hAnsi="宋体" w:eastAsia="宋体" w:cs="楷体"/>
                <w:color w:val="000000"/>
                <w:sz w:val="24"/>
                <w:highlight w:val="none"/>
                <w:lang w:val="zh-CN"/>
              </w:rPr>
            </w:pPr>
          </w:p>
        </w:tc>
        <w:tc>
          <w:tcPr>
            <w:tcW w:w="2488" w:type="dxa"/>
            <w:vMerge w:val="continue"/>
            <w:noWrap w:val="0"/>
            <w:vAlign w:val="center"/>
          </w:tcPr>
          <w:p w14:paraId="5D44F7C8">
            <w:pPr>
              <w:spacing w:line="360" w:lineRule="auto"/>
              <w:ind w:firstLine="480" w:firstLineChars="200"/>
              <w:rPr>
                <w:rFonts w:hint="eastAsia" w:ascii="宋体" w:hAnsi="宋体" w:eastAsia="宋体" w:cs="楷体"/>
                <w:color w:val="000000"/>
                <w:sz w:val="24"/>
                <w:highlight w:val="none"/>
                <w:lang w:val="zh-CN"/>
              </w:rPr>
            </w:pPr>
          </w:p>
        </w:tc>
      </w:tr>
    </w:tbl>
    <w:p w14:paraId="20E678D7">
      <w:pPr>
        <w:spacing w:line="360" w:lineRule="auto"/>
        <w:ind w:firstLine="482" w:firstLineChars="200"/>
        <w:rPr>
          <w:rFonts w:hint="eastAsia" w:ascii="宋体" w:hAnsi="宋体" w:eastAsia="宋体" w:cs="楷体"/>
          <w:color w:val="FF0000"/>
          <w:sz w:val="24"/>
          <w:highlight w:val="none"/>
        </w:rPr>
      </w:pPr>
      <w:r>
        <w:rPr>
          <w:rFonts w:hint="eastAsia" w:ascii="宋体" w:hAnsi="宋体" w:eastAsia="宋体" w:cs="楷体"/>
          <w:b/>
          <w:bCs/>
          <w:color w:val="FF0000"/>
          <w:sz w:val="24"/>
          <w:highlight w:val="none"/>
          <w:lang w:val="zh-CN"/>
        </w:rPr>
        <w:t>注：</w:t>
      </w:r>
      <w:r>
        <w:rPr>
          <w:rFonts w:hint="eastAsia" w:ascii="宋体" w:hAnsi="宋体" w:eastAsia="宋体" w:cs="楷体"/>
          <w:b/>
          <w:bCs/>
          <w:color w:val="FF0000"/>
          <w:sz w:val="24"/>
          <w:highlight w:val="none"/>
        </w:rPr>
        <w:t>投标人必须在开标前将保证金汇入以上账户，否则作废标处理, 缴纳投标保证金账户为涉密账户，账号随机，请投标单位仔细核对账号后缴纳投标保证金，合同签订后，无息退回。</w:t>
      </w:r>
    </w:p>
    <w:p w14:paraId="3745164B">
      <w:pPr>
        <w:spacing w:line="360" w:lineRule="auto"/>
        <w:ind w:firstLine="480" w:firstLineChars="200"/>
        <w:rPr>
          <w:rFonts w:hint="eastAsia" w:ascii="宋体" w:hAnsi="宋体" w:eastAsia="宋体" w:cs="楷体"/>
          <w:color w:val="000000"/>
          <w:sz w:val="24"/>
          <w:highlight w:val="none"/>
          <w:lang w:val="en-US" w:eastAsia="zh-CN"/>
        </w:rPr>
      </w:pPr>
      <w:r>
        <w:rPr>
          <w:rFonts w:hint="eastAsia" w:ascii="宋体" w:hAnsi="宋体" w:eastAsia="宋体" w:cs="楷体"/>
          <w:color w:val="000000"/>
          <w:sz w:val="24"/>
          <w:highlight w:val="none"/>
          <w:lang w:val="en-US" w:eastAsia="zh-CN"/>
        </w:rPr>
        <w:t>4.3 投标人可在 “</w:t>
      </w:r>
      <w:r>
        <w:rPr>
          <w:rFonts w:hint="eastAsia" w:ascii="宋体" w:hAnsi="宋体" w:eastAsia="宋体" w:cs="楷体"/>
          <w:color w:val="000000"/>
          <w:sz w:val="24"/>
          <w:highlight w:val="none"/>
        </w:rPr>
        <w:t>宜兴</w:t>
      </w:r>
      <w:r>
        <w:rPr>
          <w:rFonts w:hint="eastAsia" w:ascii="宋体" w:hAnsi="宋体" w:eastAsia="宋体" w:cs="楷体"/>
          <w:color w:val="000000"/>
          <w:sz w:val="24"/>
          <w:highlight w:val="none"/>
          <w:lang w:eastAsia="zh-CN"/>
        </w:rPr>
        <w:t>公用环保集团有限公司</w:t>
      </w:r>
      <w:r>
        <w:rPr>
          <w:rFonts w:hint="eastAsia" w:ascii="宋体" w:hAnsi="宋体" w:eastAsia="宋体" w:cs="楷体"/>
          <w:color w:val="000000"/>
          <w:sz w:val="24"/>
          <w:highlight w:val="none"/>
          <w:lang w:val="en-US" w:eastAsia="zh-CN"/>
        </w:rPr>
        <w:t>”网站下载招标文件及有关资料。投标人须按招标文件要求提交全部资料并对招标文件各项内容作出实质性响应，否则投标无效。</w:t>
      </w:r>
    </w:p>
    <w:p w14:paraId="25395520">
      <w:pPr>
        <w:spacing w:line="360" w:lineRule="auto"/>
        <w:ind w:firstLine="480" w:firstLineChars="200"/>
        <w:rPr>
          <w:rFonts w:hint="eastAsia" w:ascii="宋体" w:hAnsi="宋体" w:eastAsia="宋体" w:cs="楷体"/>
          <w:color w:val="000000"/>
          <w:sz w:val="24"/>
          <w:highlight w:val="none"/>
          <w:lang w:val="en-US" w:eastAsia="zh-CN"/>
        </w:rPr>
      </w:pPr>
      <w:r>
        <w:rPr>
          <w:rFonts w:hint="eastAsia" w:ascii="宋体" w:hAnsi="宋体" w:eastAsia="宋体" w:cs="楷体"/>
          <w:color w:val="000000"/>
          <w:sz w:val="24"/>
          <w:highlight w:val="none"/>
          <w:lang w:val="en-US" w:eastAsia="zh-CN"/>
        </w:rPr>
        <w:t>4.4 招标文件包括本文件目录所列全部内容及其附件，如有缺漏，请立即与江苏鸿成工程项目管理有限公司联系解决。</w:t>
      </w:r>
    </w:p>
    <w:p w14:paraId="0AB3409B">
      <w:pPr>
        <w:spacing w:line="360" w:lineRule="auto"/>
        <w:ind w:firstLine="240" w:firstLineChars="100"/>
        <w:rPr>
          <w:rFonts w:ascii="宋体" w:hAnsi="宋体" w:eastAsia="宋体" w:cs="宋体"/>
          <w:kern w:val="0"/>
          <w:sz w:val="24"/>
          <w:highlight w:val="none"/>
        </w:rPr>
      </w:pPr>
      <w:r>
        <w:rPr>
          <w:rFonts w:hint="eastAsia" w:ascii="宋体" w:hAnsi="宋体" w:eastAsia="宋体" w:cs="楷体"/>
          <w:color w:val="000000"/>
          <w:sz w:val="24"/>
          <w:highlight w:val="none"/>
          <w:lang w:val="en-US" w:eastAsia="zh-CN"/>
        </w:rPr>
        <w:t>4.5 招标文件如与招标公告有不一致的地方，以招标文件为准。</w:t>
      </w:r>
      <w:r>
        <w:rPr>
          <w:rFonts w:hint="eastAsia" w:ascii="宋体" w:hAnsi="宋体" w:eastAsia="宋体" w:cs="宋体"/>
          <w:kern w:val="0"/>
          <w:sz w:val="24"/>
          <w:highlight w:val="none"/>
        </w:rPr>
        <w:t xml:space="preserve"> </w:t>
      </w:r>
    </w:p>
    <w:p w14:paraId="0B727A90">
      <w:pPr>
        <w:spacing w:line="360" w:lineRule="auto"/>
        <w:rPr>
          <w:rFonts w:ascii="宋体" w:hAnsi="宋体" w:eastAsia="宋体" w:cs="Times New Roman"/>
          <w:b/>
          <w:bCs/>
          <w:sz w:val="28"/>
          <w:szCs w:val="28"/>
          <w:highlight w:val="none"/>
        </w:rPr>
      </w:pPr>
      <w:r>
        <w:rPr>
          <w:rFonts w:ascii="宋体" w:hAnsi="宋体" w:eastAsia="宋体" w:cs="Times New Roman"/>
          <w:b/>
          <w:bCs/>
          <w:sz w:val="28"/>
          <w:szCs w:val="28"/>
          <w:highlight w:val="none"/>
        </w:rPr>
        <w:t>5.</w:t>
      </w:r>
      <w:r>
        <w:rPr>
          <w:rFonts w:hint="eastAsia" w:ascii="宋体" w:hAnsi="宋体" w:eastAsia="宋体" w:cs="Times New Roman"/>
          <w:b/>
          <w:bCs/>
          <w:sz w:val="28"/>
          <w:szCs w:val="28"/>
          <w:highlight w:val="none"/>
        </w:rPr>
        <w:t>开标及投标文件的递交</w:t>
      </w:r>
    </w:p>
    <w:p w14:paraId="20E006A0">
      <w:pPr>
        <w:spacing w:line="360" w:lineRule="auto"/>
        <w:ind w:firstLine="480" w:firstLineChars="200"/>
        <w:rPr>
          <w:rFonts w:hint="eastAsia" w:ascii="宋体" w:hAnsi="宋体" w:eastAsia="宋体" w:cs="楷体"/>
          <w:b w:val="0"/>
          <w:bCs w:val="0"/>
          <w:color w:val="000000"/>
          <w:sz w:val="24"/>
          <w:highlight w:val="none"/>
        </w:rPr>
      </w:pPr>
      <w:r>
        <w:rPr>
          <w:rFonts w:hint="default" w:ascii="宋体" w:hAnsi="宋体" w:eastAsia="宋体" w:cs="楷体"/>
          <w:color w:val="000000"/>
          <w:sz w:val="24"/>
          <w:highlight w:val="none"/>
          <w:lang w:val="en-US"/>
        </w:rPr>
        <w:t>5.1</w:t>
      </w:r>
      <w:r>
        <w:rPr>
          <w:rFonts w:hint="eastAsia" w:ascii="宋体" w:hAnsi="宋体" w:eastAsia="宋体" w:cs="楷体"/>
          <w:color w:val="000000"/>
          <w:sz w:val="24"/>
          <w:highlight w:val="none"/>
        </w:rPr>
        <w:t>投标文件递交的截止</w:t>
      </w:r>
      <w:r>
        <w:rPr>
          <w:rFonts w:hint="eastAsia" w:ascii="宋体" w:hAnsi="宋体" w:eastAsia="宋体" w:cs="楷体"/>
          <w:b w:val="0"/>
          <w:bCs w:val="0"/>
          <w:color w:val="000000"/>
          <w:sz w:val="24"/>
          <w:highlight w:val="none"/>
        </w:rPr>
        <w:t>时间为</w:t>
      </w:r>
      <w:r>
        <w:rPr>
          <w:rFonts w:hint="default" w:ascii="宋体" w:hAnsi="宋体" w:eastAsia="宋体" w:cs="楷体"/>
          <w:b w:val="0"/>
          <w:bCs w:val="0"/>
          <w:color w:val="000000"/>
          <w:sz w:val="24"/>
          <w:highlight w:val="none"/>
          <w:u w:val="single"/>
          <w:lang w:val="en-US"/>
        </w:rPr>
        <w:t>20</w:t>
      </w:r>
      <w:r>
        <w:rPr>
          <w:rFonts w:hint="eastAsia" w:ascii="宋体" w:hAnsi="宋体" w:eastAsia="宋体" w:cs="楷体"/>
          <w:b w:val="0"/>
          <w:bCs w:val="0"/>
          <w:color w:val="000000"/>
          <w:sz w:val="24"/>
          <w:highlight w:val="none"/>
          <w:u w:val="single"/>
          <w:lang w:val="en-US"/>
        </w:rPr>
        <w:t>2</w:t>
      </w:r>
      <w:r>
        <w:rPr>
          <w:rFonts w:hint="eastAsia" w:ascii="宋体" w:hAnsi="宋体" w:eastAsia="宋体" w:cs="楷体"/>
          <w:b w:val="0"/>
          <w:bCs w:val="0"/>
          <w:color w:val="000000"/>
          <w:sz w:val="24"/>
          <w:highlight w:val="none"/>
          <w:u w:val="single"/>
          <w:lang w:val="en-US" w:eastAsia="zh-CN"/>
        </w:rPr>
        <w:t>4</w:t>
      </w:r>
      <w:r>
        <w:rPr>
          <w:rFonts w:hint="eastAsia" w:ascii="宋体" w:hAnsi="宋体" w:eastAsia="宋体" w:cs="楷体"/>
          <w:b w:val="0"/>
          <w:bCs w:val="0"/>
          <w:color w:val="000000"/>
          <w:sz w:val="24"/>
          <w:highlight w:val="none"/>
          <w:u w:val="single"/>
        </w:rPr>
        <w:t>年</w:t>
      </w:r>
      <w:r>
        <w:rPr>
          <w:rFonts w:hint="eastAsia" w:ascii="宋体" w:hAnsi="宋体" w:eastAsia="宋体" w:cs="楷体"/>
          <w:b w:val="0"/>
          <w:bCs w:val="0"/>
          <w:color w:val="000000"/>
          <w:sz w:val="24"/>
          <w:highlight w:val="none"/>
          <w:u w:val="single"/>
          <w:lang w:val="en-US" w:eastAsia="zh-CN"/>
        </w:rPr>
        <w:t>8</w:t>
      </w:r>
      <w:r>
        <w:rPr>
          <w:rFonts w:hint="eastAsia" w:ascii="宋体" w:hAnsi="宋体" w:eastAsia="宋体" w:cs="楷体"/>
          <w:b w:val="0"/>
          <w:bCs w:val="0"/>
          <w:color w:val="000000"/>
          <w:sz w:val="24"/>
          <w:highlight w:val="none"/>
          <w:u w:val="single"/>
        </w:rPr>
        <w:t>月</w:t>
      </w:r>
      <w:r>
        <w:rPr>
          <w:rFonts w:hint="eastAsia" w:ascii="宋体" w:hAnsi="宋体" w:eastAsia="宋体" w:cs="楷体"/>
          <w:b w:val="0"/>
          <w:bCs w:val="0"/>
          <w:color w:val="000000"/>
          <w:sz w:val="24"/>
          <w:highlight w:val="none"/>
          <w:u w:val="single"/>
          <w:lang w:val="en-US" w:eastAsia="zh-CN"/>
        </w:rPr>
        <w:t>28</w:t>
      </w:r>
      <w:r>
        <w:rPr>
          <w:rFonts w:hint="eastAsia" w:ascii="宋体" w:hAnsi="宋体" w:eastAsia="宋体" w:cs="楷体"/>
          <w:b w:val="0"/>
          <w:bCs w:val="0"/>
          <w:color w:val="000000"/>
          <w:sz w:val="24"/>
          <w:highlight w:val="none"/>
          <w:u w:val="single"/>
        </w:rPr>
        <w:t>日</w:t>
      </w:r>
      <w:r>
        <w:rPr>
          <w:rFonts w:hint="eastAsia" w:ascii="宋体" w:hAnsi="宋体" w:eastAsia="宋体" w:cs="楷体"/>
          <w:b w:val="0"/>
          <w:bCs w:val="0"/>
          <w:color w:val="000000"/>
          <w:sz w:val="24"/>
          <w:highlight w:val="none"/>
          <w:u w:val="single"/>
          <w:lang w:val="en-US" w:eastAsia="zh-CN"/>
        </w:rPr>
        <w:t>14</w:t>
      </w:r>
      <w:r>
        <w:rPr>
          <w:rFonts w:hint="eastAsia" w:ascii="宋体" w:hAnsi="宋体" w:eastAsia="宋体" w:cs="楷体"/>
          <w:b w:val="0"/>
          <w:bCs w:val="0"/>
          <w:color w:val="000000"/>
          <w:sz w:val="24"/>
          <w:highlight w:val="none"/>
          <w:u w:val="single"/>
        </w:rPr>
        <w:t>时</w:t>
      </w:r>
      <w:r>
        <w:rPr>
          <w:rFonts w:hint="eastAsia" w:ascii="宋体" w:hAnsi="宋体" w:eastAsia="宋体" w:cs="楷体"/>
          <w:b w:val="0"/>
          <w:bCs w:val="0"/>
          <w:color w:val="000000"/>
          <w:sz w:val="24"/>
          <w:highlight w:val="none"/>
          <w:u w:val="single"/>
          <w:lang w:val="en-US" w:eastAsia="zh-CN"/>
        </w:rPr>
        <w:t>30</w:t>
      </w:r>
      <w:r>
        <w:rPr>
          <w:rFonts w:hint="eastAsia" w:ascii="宋体" w:hAnsi="宋体" w:eastAsia="宋体" w:cs="楷体"/>
          <w:b w:val="0"/>
          <w:bCs w:val="0"/>
          <w:color w:val="000000"/>
          <w:sz w:val="24"/>
          <w:highlight w:val="none"/>
          <w:u w:val="single"/>
        </w:rPr>
        <w:t>分</w:t>
      </w:r>
      <w:r>
        <w:rPr>
          <w:rFonts w:hint="eastAsia" w:ascii="宋体" w:hAnsi="宋体" w:eastAsia="宋体" w:cs="楷体"/>
          <w:b w:val="0"/>
          <w:bCs w:val="0"/>
          <w:color w:val="000000"/>
          <w:sz w:val="24"/>
          <w:highlight w:val="none"/>
        </w:rPr>
        <w:t>，地点为：</w:t>
      </w:r>
      <w:r>
        <w:rPr>
          <w:rFonts w:hint="eastAsia" w:ascii="宋体" w:hAnsi="宋体" w:eastAsia="宋体" w:cs="楷体"/>
          <w:b/>
          <w:bCs/>
          <w:color w:val="000000"/>
          <w:sz w:val="24"/>
          <w:highlight w:val="none"/>
          <w:u w:val="single"/>
        </w:rPr>
        <w:t>宜兴市公用环保集团有限公司二楼开标室（宜兴市环科园绿园路528号孵化园）</w:t>
      </w:r>
      <w:r>
        <w:rPr>
          <w:rFonts w:hint="eastAsia" w:ascii="宋体" w:hAnsi="宋体" w:eastAsia="宋体" w:cs="楷体"/>
          <w:b w:val="0"/>
          <w:bCs w:val="0"/>
          <w:color w:val="000000"/>
          <w:sz w:val="24"/>
          <w:highlight w:val="none"/>
        </w:rPr>
        <w:t>。</w:t>
      </w:r>
    </w:p>
    <w:p w14:paraId="6732F4E7">
      <w:pPr>
        <w:spacing w:line="360" w:lineRule="auto"/>
        <w:ind w:firstLine="480" w:firstLineChars="200"/>
        <w:rPr>
          <w:rFonts w:hint="eastAsia" w:ascii="宋体" w:hAnsi="宋体" w:eastAsia="宋体" w:cs="楷体"/>
          <w:color w:val="000000"/>
          <w:sz w:val="24"/>
          <w:highlight w:val="none"/>
          <w:lang w:eastAsia="zh-CN"/>
        </w:rPr>
      </w:pPr>
      <w:r>
        <w:rPr>
          <w:rFonts w:hint="eastAsia" w:ascii="宋体" w:hAnsi="宋体" w:eastAsia="宋体" w:cs="楷体"/>
          <w:color w:val="000000"/>
          <w:sz w:val="24"/>
          <w:highlight w:val="none"/>
        </w:rPr>
        <w:t>5.</w:t>
      </w:r>
      <w:r>
        <w:rPr>
          <w:rFonts w:hint="default" w:ascii="宋体" w:hAnsi="宋体" w:eastAsia="宋体" w:cs="楷体"/>
          <w:color w:val="000000"/>
          <w:sz w:val="24"/>
          <w:highlight w:val="none"/>
          <w:lang w:val="en-US"/>
        </w:rPr>
        <w:t>2</w:t>
      </w:r>
      <w:r>
        <w:rPr>
          <w:rFonts w:hint="eastAsia" w:ascii="宋体" w:hAnsi="宋体" w:eastAsia="宋体" w:cs="楷体"/>
          <w:color w:val="000000"/>
          <w:sz w:val="24"/>
          <w:highlight w:val="none"/>
        </w:rPr>
        <w:t>逾期递交的或者未递交</w:t>
      </w:r>
      <w:r>
        <w:rPr>
          <w:rFonts w:hint="eastAsia" w:ascii="宋体" w:hAnsi="宋体" w:eastAsia="宋体" w:cs="楷体"/>
          <w:color w:val="000000"/>
          <w:sz w:val="24"/>
          <w:highlight w:val="none"/>
          <w:lang w:val="en-US" w:eastAsia="zh-CN"/>
        </w:rPr>
        <w:t>至</w:t>
      </w:r>
      <w:r>
        <w:rPr>
          <w:rFonts w:hint="eastAsia" w:ascii="宋体" w:hAnsi="宋体" w:eastAsia="宋体" w:cs="楷体"/>
          <w:color w:val="000000"/>
          <w:sz w:val="24"/>
          <w:highlight w:val="none"/>
        </w:rPr>
        <w:t>指定地点的投标文件，招标人不予受理</w:t>
      </w:r>
      <w:r>
        <w:rPr>
          <w:rFonts w:hint="eastAsia" w:ascii="宋体" w:hAnsi="宋体" w:eastAsia="宋体" w:cs="楷体"/>
          <w:color w:val="000000"/>
          <w:sz w:val="24"/>
          <w:highlight w:val="none"/>
          <w:lang w:eastAsia="zh-CN"/>
        </w:rPr>
        <w:t>；</w:t>
      </w:r>
    </w:p>
    <w:p w14:paraId="28DA2476">
      <w:pPr>
        <w:spacing w:line="360" w:lineRule="auto"/>
        <w:ind w:firstLine="480" w:firstLineChars="200"/>
        <w:rPr>
          <w:rFonts w:hint="eastAsia" w:ascii="宋体" w:hAnsi="宋体" w:eastAsia="宋体" w:cs="楷体"/>
          <w:color w:val="000000"/>
          <w:sz w:val="24"/>
          <w:highlight w:val="none"/>
        </w:rPr>
      </w:pPr>
      <w:r>
        <w:rPr>
          <w:rFonts w:hint="eastAsia" w:ascii="宋体" w:hAnsi="宋体" w:eastAsia="宋体" w:cs="楷体"/>
          <w:color w:val="000000"/>
          <w:sz w:val="24"/>
          <w:highlight w:val="none"/>
        </w:rPr>
        <w:t>5.</w:t>
      </w:r>
      <w:r>
        <w:rPr>
          <w:rFonts w:hint="default" w:ascii="宋体" w:hAnsi="宋体" w:eastAsia="宋体" w:cs="楷体"/>
          <w:color w:val="000000"/>
          <w:sz w:val="24"/>
          <w:highlight w:val="none"/>
          <w:lang w:val="en-US"/>
        </w:rPr>
        <w:t>3</w:t>
      </w:r>
      <w:r>
        <w:rPr>
          <w:rFonts w:hint="eastAsia" w:ascii="宋体" w:hAnsi="宋体" w:eastAsia="宋体" w:cs="楷体"/>
          <w:color w:val="000000"/>
          <w:sz w:val="24"/>
          <w:highlight w:val="none"/>
        </w:rPr>
        <w:t>开标</w:t>
      </w:r>
      <w:r>
        <w:rPr>
          <w:rFonts w:hint="eastAsia" w:ascii="宋体" w:hAnsi="宋体" w:eastAsia="宋体" w:cs="楷体"/>
          <w:color w:val="000000"/>
          <w:sz w:val="24"/>
          <w:highlight w:val="none"/>
          <w:lang w:eastAsia="zh-CN"/>
        </w:rPr>
        <w:t>前资格</w:t>
      </w:r>
      <w:r>
        <w:rPr>
          <w:rFonts w:hint="eastAsia" w:ascii="宋体" w:hAnsi="宋体" w:eastAsia="宋体" w:cs="楷体"/>
          <w:color w:val="000000"/>
          <w:sz w:val="24"/>
          <w:highlight w:val="none"/>
        </w:rPr>
        <w:t>审查原件资料：①法定代表人身份证明书；②授权委托书；③授权委托人身份证和近三个月投标单位为其办理的社保缴费清单（指</w:t>
      </w:r>
      <w:r>
        <w:rPr>
          <w:rFonts w:hint="eastAsia" w:ascii="宋体" w:hAnsi="宋体" w:eastAsia="宋体" w:cs="楷体"/>
          <w:color w:val="000000"/>
          <w:sz w:val="24"/>
          <w:highlight w:val="none"/>
          <w:lang w:eastAsia="zh-CN"/>
        </w:rPr>
        <w:t>2024年3月-2024年8月</w:t>
      </w:r>
      <w:r>
        <w:rPr>
          <w:rFonts w:hint="eastAsia" w:ascii="宋体" w:hAnsi="宋体" w:eastAsia="宋体" w:cs="楷体"/>
          <w:color w:val="000000"/>
          <w:sz w:val="24"/>
          <w:highlight w:val="none"/>
        </w:rPr>
        <w:t>任意连续三个月，法定代表人无需提供，如授权委托人同时为投标项目负责人则不需提供）；④营业执照（副本）；⑤资质证书（副本）；⑥注册建造师证书及《施工企业项目负责人安全生产考核合格证》B证；⑦安全生产许可证；⑧投标保证金</w:t>
      </w:r>
      <w:r>
        <w:rPr>
          <w:rFonts w:hint="eastAsia" w:ascii="宋体" w:hAnsi="宋体" w:eastAsia="宋体" w:cs="楷体"/>
          <w:color w:val="000000"/>
          <w:sz w:val="24"/>
          <w:highlight w:val="none"/>
          <w:lang w:eastAsia="zh-CN"/>
        </w:rPr>
        <w:t>证明材料</w:t>
      </w:r>
      <w:r>
        <w:rPr>
          <w:rFonts w:hint="eastAsia" w:ascii="宋体" w:hAnsi="宋体" w:eastAsia="宋体" w:cs="楷体"/>
          <w:color w:val="000000"/>
          <w:sz w:val="24"/>
          <w:highlight w:val="none"/>
        </w:rPr>
        <w:t>。</w:t>
      </w:r>
    </w:p>
    <w:p w14:paraId="7739BCA3">
      <w:pPr>
        <w:spacing w:line="360" w:lineRule="auto"/>
        <w:ind w:firstLine="480" w:firstLineChars="200"/>
        <w:rPr>
          <w:rFonts w:hint="eastAsia" w:ascii="宋体" w:hAnsi="宋体" w:eastAsia="宋体" w:cs="楷体"/>
          <w:color w:val="000000"/>
          <w:sz w:val="24"/>
          <w:highlight w:val="none"/>
          <w:lang w:eastAsia="zh-CN"/>
        </w:rPr>
      </w:pPr>
      <w:r>
        <w:rPr>
          <w:rFonts w:hint="eastAsia" w:ascii="宋体" w:hAnsi="宋体" w:eastAsia="宋体" w:cs="楷体"/>
          <w:color w:val="000000"/>
          <w:sz w:val="24"/>
          <w:highlight w:val="none"/>
        </w:rPr>
        <w:t>注：法定代表人或其授权委托人出席开标会。</w:t>
      </w:r>
      <w:r>
        <w:rPr>
          <w:rFonts w:hint="eastAsia" w:ascii="宋体" w:hAnsi="宋体" w:eastAsia="宋体" w:cs="楷体"/>
          <w:color w:val="000000"/>
          <w:sz w:val="24"/>
          <w:highlight w:val="none"/>
          <w:lang w:eastAsia="zh-CN"/>
        </w:rPr>
        <w:t>注：（1）以上材料必须提供原件。（2）除上述第</w:t>
      </w:r>
      <w:r>
        <w:rPr>
          <w:rFonts w:hint="eastAsia" w:ascii="宋体" w:hAnsi="宋体" w:eastAsia="宋体" w:cs="楷体"/>
          <w:color w:val="000000"/>
          <w:sz w:val="24"/>
          <w:highlight w:val="none"/>
        </w:rPr>
        <w:t>⑤</w:t>
      </w:r>
      <w:r>
        <w:rPr>
          <w:rFonts w:hint="eastAsia" w:ascii="宋体" w:hAnsi="宋体" w:eastAsia="宋体" w:cs="楷体"/>
          <w:color w:val="000000"/>
          <w:sz w:val="24"/>
          <w:highlight w:val="none"/>
          <w:lang w:eastAsia="zh-CN"/>
        </w:rPr>
        <w:t>、</w:t>
      </w:r>
      <w:r>
        <w:rPr>
          <w:rFonts w:hint="eastAsia" w:ascii="宋体" w:hAnsi="宋体" w:eastAsia="宋体" w:cs="楷体"/>
          <w:color w:val="000000"/>
          <w:sz w:val="24"/>
          <w:highlight w:val="none"/>
        </w:rPr>
        <w:t>⑥</w:t>
      </w:r>
      <w:r>
        <w:rPr>
          <w:rFonts w:hint="eastAsia" w:ascii="宋体" w:hAnsi="宋体" w:eastAsia="宋体" w:cs="楷体"/>
          <w:color w:val="000000"/>
          <w:sz w:val="24"/>
          <w:highlight w:val="none"/>
          <w:lang w:eastAsia="zh-CN"/>
        </w:rPr>
        <w:t>、</w:t>
      </w:r>
      <w:r>
        <w:rPr>
          <w:rFonts w:hint="eastAsia" w:ascii="宋体" w:hAnsi="宋体" w:eastAsia="宋体" w:cs="楷体"/>
          <w:color w:val="000000"/>
          <w:sz w:val="24"/>
          <w:highlight w:val="none"/>
        </w:rPr>
        <w:t>⑦</w:t>
      </w:r>
      <w:r>
        <w:rPr>
          <w:rFonts w:hint="eastAsia" w:ascii="宋体" w:hAnsi="宋体" w:eastAsia="宋体" w:cs="楷体"/>
          <w:color w:val="000000"/>
          <w:sz w:val="24"/>
          <w:highlight w:val="none"/>
          <w:lang w:eastAsia="zh-CN"/>
        </w:rPr>
        <w:t>项可携带电子证书（扫描二维码可查）外，其他材料需携带书面原件。</w:t>
      </w:r>
    </w:p>
    <w:p w14:paraId="74763879">
      <w:pPr>
        <w:spacing w:line="360" w:lineRule="auto"/>
        <w:ind w:firstLine="482" w:firstLineChars="200"/>
        <w:rPr>
          <w:rFonts w:hint="eastAsia" w:ascii="宋体" w:hAnsi="宋体" w:eastAsia="宋体" w:cs="楷体"/>
          <w:b/>
          <w:bCs/>
          <w:color w:val="000000"/>
          <w:sz w:val="24"/>
          <w:highlight w:val="none"/>
        </w:rPr>
      </w:pPr>
      <w:r>
        <w:rPr>
          <w:rFonts w:hint="eastAsia" w:ascii="宋体" w:hAnsi="宋体" w:eastAsia="宋体" w:cs="楷体"/>
          <w:b/>
          <w:bCs/>
          <w:color w:val="000000"/>
          <w:sz w:val="24"/>
          <w:highlight w:val="none"/>
        </w:rPr>
        <w:t>6、 资格审查</w:t>
      </w:r>
    </w:p>
    <w:p w14:paraId="257E6555">
      <w:pPr>
        <w:spacing w:line="360" w:lineRule="auto"/>
        <w:ind w:firstLine="480" w:firstLineChars="200"/>
        <w:rPr>
          <w:rFonts w:hint="eastAsia" w:ascii="宋体" w:hAnsi="宋体" w:eastAsia="宋体" w:cs="楷体"/>
          <w:color w:val="000000"/>
          <w:sz w:val="24"/>
          <w:highlight w:val="none"/>
        </w:rPr>
      </w:pPr>
      <w:r>
        <w:rPr>
          <w:rFonts w:hint="eastAsia" w:ascii="宋体" w:hAnsi="宋体" w:eastAsia="宋体" w:cs="楷体"/>
          <w:color w:val="000000"/>
          <w:sz w:val="24"/>
          <w:highlight w:val="none"/>
        </w:rPr>
        <w:t>本次招标采用资格</w:t>
      </w:r>
      <w:r>
        <w:rPr>
          <w:rFonts w:hint="eastAsia" w:ascii="宋体" w:hAnsi="宋体" w:eastAsia="宋体" w:cs="楷体"/>
          <w:color w:val="000000"/>
          <w:sz w:val="24"/>
          <w:highlight w:val="none"/>
          <w:lang w:val="en-US" w:eastAsia="zh-CN"/>
        </w:rPr>
        <w:t>后审</w:t>
      </w:r>
      <w:r>
        <w:rPr>
          <w:rFonts w:hint="eastAsia" w:ascii="宋体" w:hAnsi="宋体" w:eastAsia="宋体" w:cs="楷体"/>
          <w:color w:val="000000"/>
          <w:sz w:val="24"/>
          <w:highlight w:val="none"/>
        </w:rPr>
        <w:t>方式进行资格审查，资格评审标准详见招标文件第三章。</w:t>
      </w:r>
    </w:p>
    <w:p w14:paraId="444BEF73">
      <w:pPr>
        <w:spacing w:line="360" w:lineRule="auto"/>
        <w:ind w:firstLine="482" w:firstLineChars="200"/>
        <w:rPr>
          <w:rFonts w:hint="eastAsia" w:ascii="宋体" w:hAnsi="宋体" w:eastAsia="宋体" w:cs="楷体"/>
          <w:b/>
          <w:bCs/>
          <w:color w:val="000000"/>
          <w:sz w:val="24"/>
          <w:highlight w:val="none"/>
        </w:rPr>
      </w:pPr>
      <w:r>
        <w:rPr>
          <w:rFonts w:hint="eastAsia" w:ascii="宋体" w:hAnsi="宋体" w:eastAsia="宋体" w:cs="楷体"/>
          <w:b/>
          <w:bCs/>
          <w:color w:val="000000"/>
          <w:sz w:val="24"/>
          <w:highlight w:val="none"/>
        </w:rPr>
        <w:t>7、评标办法</w:t>
      </w:r>
    </w:p>
    <w:p w14:paraId="0DE3E1DD">
      <w:pPr>
        <w:spacing w:line="360" w:lineRule="auto"/>
        <w:ind w:firstLine="480" w:firstLineChars="200"/>
        <w:rPr>
          <w:rFonts w:hint="eastAsia" w:ascii="宋体" w:hAnsi="宋体" w:eastAsia="宋体" w:cs="楷体"/>
          <w:color w:val="000000"/>
          <w:sz w:val="24"/>
          <w:highlight w:val="none"/>
        </w:rPr>
      </w:pPr>
      <w:r>
        <w:rPr>
          <w:rFonts w:hint="eastAsia" w:ascii="宋体" w:hAnsi="宋体" w:eastAsia="宋体" w:cs="楷体"/>
          <w:color w:val="000000"/>
          <w:sz w:val="24"/>
          <w:highlight w:val="none"/>
        </w:rPr>
        <w:t>本次招标采用</w:t>
      </w:r>
      <w:r>
        <w:rPr>
          <w:rFonts w:hint="eastAsia" w:ascii="ˎ̥" w:hAnsi="ˎ̥" w:eastAsia="宋体" w:cs="Times New Roman"/>
          <w:b/>
          <w:bCs/>
          <w:sz w:val="24"/>
          <w:highlight w:val="none"/>
          <w:lang w:eastAsia="zh-CN"/>
        </w:rPr>
        <w:t>经评审的最低投标价法</w:t>
      </w:r>
      <w:r>
        <w:rPr>
          <w:rFonts w:hint="eastAsia" w:ascii="宋体" w:hAnsi="宋体" w:eastAsia="宋体" w:cs="楷体"/>
          <w:color w:val="000000"/>
          <w:sz w:val="24"/>
          <w:highlight w:val="none"/>
        </w:rPr>
        <w:t>。评标细则详见招标文件。</w:t>
      </w:r>
    </w:p>
    <w:p w14:paraId="6192AFDC">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color w:val="000000"/>
          <w:kern w:val="0"/>
          <w:sz w:val="24"/>
          <w:highlight w:val="none"/>
        </w:rPr>
      </w:pPr>
      <w:r>
        <w:rPr>
          <w:rFonts w:hint="eastAsia" w:ascii="宋体" w:hAnsi="宋体" w:eastAsia="宋体" w:cs="宋体"/>
          <w:b/>
          <w:color w:val="000000"/>
          <w:kern w:val="0"/>
          <w:sz w:val="24"/>
          <w:highlight w:val="none"/>
        </w:rPr>
        <w:t>8、其它</w:t>
      </w:r>
    </w:p>
    <w:p w14:paraId="5164350F">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8.1有不良行为在公示期内被暂停投标资格的投标人不得参加本项目投标。</w:t>
      </w:r>
    </w:p>
    <w:p w14:paraId="32AD95EC">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8.2如资格证明材料在年检期间需要行政主管部门出具证明的，证明内容必须明确其有效性，如“同意延期至*年*月*日有效”，“同意继续有效，本证明有效期10天”等。未标明有效期的，统一按出具证明之日起10天内有效。标明有效期的，不得超过30天，标明的有效期如超过30天的，在出具证明之日起30天内有效，超出30天时不予认可。如证明内容模棱两可、含糊不清的，如“正在办理中”等，不予认可。</w:t>
      </w:r>
    </w:p>
    <w:p w14:paraId="0D57B354">
      <w:pPr>
        <w:widowControl/>
        <w:adjustRightInd w:val="0"/>
        <w:snapToGrid w:val="0"/>
        <w:spacing w:line="360" w:lineRule="auto"/>
        <w:ind w:firstLine="480" w:firstLineChars="200"/>
        <w:jc w:val="left"/>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val="en-US" w:eastAsia="zh-CN"/>
        </w:rPr>
        <w:t>8.3</w:t>
      </w:r>
      <w:r>
        <w:rPr>
          <w:rFonts w:ascii="宋体" w:hAnsi="宋体" w:eastAsia="宋体" w:cs="宋体"/>
          <w:color w:val="000000"/>
          <w:kern w:val="0"/>
          <w:sz w:val="24"/>
          <w:highlight w:val="none"/>
        </w:rPr>
        <w:t>企业资质动态监管不合格被锁定并进入整改期的，自锁定之日起不得以不合格资质参加本工程投标（以“江苏省建筑市场监管与诚信信息一体化平台”查询为准）。</w:t>
      </w:r>
    </w:p>
    <w:p w14:paraId="5003C4E3">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000000"/>
          <w:kern w:val="0"/>
          <w:sz w:val="24"/>
          <w:highlight w:val="none"/>
        </w:rPr>
        <w:t>9、发布公告的媒介</w:t>
      </w:r>
    </w:p>
    <w:p w14:paraId="75F80791">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9.1本次招标公告在“</w:t>
      </w:r>
      <w:r>
        <w:rPr>
          <w:rFonts w:hint="eastAsia" w:ascii="宋体" w:hAnsi="宋体" w:eastAsia="宋体" w:cs="宋体"/>
          <w:color w:val="auto"/>
          <w:sz w:val="24"/>
          <w:highlight w:val="none"/>
        </w:rPr>
        <w:t>宜兴</w:t>
      </w:r>
      <w:r>
        <w:rPr>
          <w:rFonts w:hint="eastAsia" w:ascii="宋体" w:hAnsi="宋体" w:eastAsia="宋体" w:cs="宋体"/>
          <w:color w:val="auto"/>
          <w:sz w:val="24"/>
          <w:highlight w:val="none"/>
          <w:lang w:eastAsia="zh-CN"/>
        </w:rPr>
        <w:t>公用环保集团有限公司</w:t>
      </w:r>
      <w:r>
        <w:rPr>
          <w:rFonts w:hint="eastAsia" w:ascii="宋体" w:hAnsi="宋体" w:eastAsia="宋体" w:cs="宋体"/>
          <w:color w:val="auto"/>
          <w:kern w:val="0"/>
          <w:sz w:val="24"/>
          <w:highlight w:val="none"/>
        </w:rPr>
        <w:t>”站上发布。</w:t>
      </w:r>
    </w:p>
    <w:p w14:paraId="204EAAB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color w:val="auto"/>
          <w:kern w:val="0"/>
          <w:sz w:val="24"/>
          <w:highlight w:val="none"/>
        </w:rPr>
        <w:t>9.</w:t>
      </w:r>
      <w:r>
        <w:rPr>
          <w:rFonts w:hint="eastAsia" w:ascii="宋体" w:hAnsi="宋体" w:eastAsia="宋体" w:cs="宋体"/>
          <w:color w:val="auto"/>
          <w:kern w:val="0"/>
          <w:sz w:val="24"/>
          <w:highlight w:val="none"/>
          <w:lang w:val="en-US" w:eastAsia="zh-CN"/>
        </w:rPr>
        <w:t>2</w:t>
      </w:r>
      <w:r>
        <w:rPr>
          <w:rFonts w:hint="eastAsia" w:ascii="宋体" w:hAnsi="宋体" w:eastAsia="宋体" w:cs="宋体"/>
          <w:color w:val="auto"/>
          <w:kern w:val="0"/>
          <w:sz w:val="24"/>
          <w:highlight w:val="none"/>
        </w:rPr>
        <w:t>本公告发布日期从</w:t>
      </w:r>
      <w:r>
        <w:rPr>
          <w:rFonts w:hint="eastAsia" w:ascii="宋体" w:hAnsi="宋体" w:eastAsia="宋体" w:cs="宋体"/>
          <w:color w:val="auto"/>
          <w:kern w:val="0"/>
          <w:sz w:val="24"/>
          <w:highlight w:val="none"/>
          <w:u w:val="single"/>
          <w:lang w:val="en-US" w:eastAsia="zh-CN"/>
        </w:rPr>
        <w:t>2024</w:t>
      </w:r>
      <w:r>
        <w:rPr>
          <w:rFonts w:hint="eastAsia" w:ascii="宋体" w:hAnsi="宋体" w:eastAsia="宋体" w:cs="宋体"/>
          <w:color w:val="auto"/>
          <w:kern w:val="0"/>
          <w:sz w:val="24"/>
          <w:highlight w:val="none"/>
        </w:rPr>
        <w:t>年</w:t>
      </w:r>
      <w:r>
        <w:rPr>
          <w:rFonts w:hint="eastAsia" w:ascii="宋体" w:hAnsi="宋体" w:eastAsia="宋体" w:cs="宋体"/>
          <w:color w:val="auto"/>
          <w:kern w:val="0"/>
          <w:sz w:val="24"/>
          <w:highlight w:val="none"/>
          <w:u w:val="single"/>
          <w:lang w:val="en-US" w:eastAsia="zh-CN"/>
        </w:rPr>
        <w:t>8</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u w:val="single"/>
          <w:lang w:val="en-US" w:eastAsia="zh-CN"/>
        </w:rPr>
        <w:t>21</w:t>
      </w:r>
      <w:r>
        <w:rPr>
          <w:rFonts w:hint="eastAsia" w:ascii="宋体" w:hAnsi="宋体" w:eastAsia="宋体" w:cs="宋体"/>
          <w:color w:val="auto"/>
          <w:kern w:val="0"/>
          <w:sz w:val="24"/>
          <w:highlight w:val="none"/>
          <w:lang w:val="en-US" w:eastAsia="zh-CN"/>
        </w:rPr>
        <w:t>日</w:t>
      </w:r>
      <w:r>
        <w:rPr>
          <w:rFonts w:hint="eastAsia" w:ascii="宋体" w:hAnsi="宋体" w:eastAsia="宋体" w:cs="宋体"/>
          <w:color w:val="auto"/>
          <w:kern w:val="0"/>
          <w:sz w:val="24"/>
          <w:highlight w:val="none"/>
        </w:rPr>
        <w:t>至</w:t>
      </w:r>
      <w:r>
        <w:rPr>
          <w:rFonts w:hint="eastAsia" w:ascii="宋体" w:hAnsi="宋体" w:eastAsia="宋体" w:cs="宋体"/>
          <w:color w:val="auto"/>
          <w:kern w:val="0"/>
          <w:sz w:val="24"/>
          <w:highlight w:val="none"/>
          <w:u w:val="single"/>
          <w:lang w:val="en-US" w:eastAsia="zh-CN"/>
        </w:rPr>
        <w:t>2024</w:t>
      </w:r>
      <w:r>
        <w:rPr>
          <w:rFonts w:hint="eastAsia" w:ascii="宋体" w:hAnsi="宋体" w:eastAsia="宋体" w:cs="宋体"/>
          <w:color w:val="auto"/>
          <w:kern w:val="0"/>
          <w:sz w:val="24"/>
          <w:highlight w:val="none"/>
        </w:rPr>
        <w:t>年</w:t>
      </w:r>
      <w:r>
        <w:rPr>
          <w:rFonts w:hint="eastAsia" w:ascii="宋体" w:hAnsi="宋体" w:eastAsia="宋体" w:cs="宋体"/>
          <w:color w:val="auto"/>
          <w:kern w:val="0"/>
          <w:sz w:val="24"/>
          <w:highlight w:val="none"/>
          <w:u w:val="single"/>
          <w:lang w:val="en-US" w:eastAsia="zh-CN"/>
        </w:rPr>
        <w:t>8</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u w:val="single"/>
          <w:lang w:val="en-US" w:eastAsia="zh-CN"/>
        </w:rPr>
        <w:t>26</w:t>
      </w:r>
      <w:r>
        <w:rPr>
          <w:rFonts w:hint="eastAsia" w:ascii="宋体" w:hAnsi="宋体" w:eastAsia="宋体" w:cs="宋体"/>
          <w:color w:val="auto"/>
          <w:kern w:val="0"/>
          <w:sz w:val="24"/>
          <w:highlight w:val="none"/>
        </w:rPr>
        <w:t>日，本公告为第</w:t>
      </w:r>
      <w:r>
        <w:rPr>
          <w:rFonts w:hint="eastAsia" w:ascii="宋体" w:hAnsi="宋体" w:eastAsia="宋体" w:cs="宋体"/>
          <w:color w:val="auto"/>
          <w:kern w:val="0"/>
          <w:sz w:val="24"/>
          <w:highlight w:val="none"/>
          <w:u w:val="single"/>
          <w:lang w:val="en-US" w:eastAsia="zh-CN"/>
        </w:rPr>
        <w:t>1</w:t>
      </w:r>
      <w:r>
        <w:rPr>
          <w:rFonts w:hint="eastAsia" w:ascii="宋体" w:hAnsi="宋体" w:eastAsia="宋体" w:cs="宋体"/>
          <w:color w:val="auto"/>
          <w:kern w:val="0"/>
          <w:sz w:val="24"/>
          <w:highlight w:val="none"/>
        </w:rPr>
        <w:t>次发布公告。</w:t>
      </w:r>
    </w:p>
    <w:p w14:paraId="4FC7A823">
      <w:pPr>
        <w:widowControl/>
        <w:adjustRightInd w:val="0"/>
        <w:snapToGrid w:val="0"/>
        <w:spacing w:line="400" w:lineRule="exact"/>
        <w:ind w:firstLine="480" w:firstLineChars="200"/>
        <w:jc w:val="left"/>
        <w:rPr>
          <w:rFonts w:ascii="宋体" w:hAnsi="宋体" w:eastAsia="宋体" w:cs="宋体"/>
          <w:b/>
          <w:color w:val="000000"/>
          <w:kern w:val="0"/>
          <w:sz w:val="24"/>
          <w:highlight w:val="none"/>
        </w:rPr>
      </w:pPr>
      <w:r>
        <w:rPr>
          <w:rFonts w:ascii="Times New Roman" w:hAnsi="Times New Roman" w:eastAsia="微软雅黑" w:cs="Times New Roman"/>
          <w:b/>
          <w:color w:val="000000"/>
          <w:kern w:val="0"/>
          <w:sz w:val="24"/>
          <w:highlight w:val="none"/>
        </w:rPr>
        <w:t>1</w:t>
      </w:r>
      <w:r>
        <w:rPr>
          <w:rFonts w:hint="eastAsia" w:ascii="Times New Roman" w:hAnsi="Times New Roman" w:eastAsia="微软雅黑" w:cs="Times New Roman"/>
          <w:b/>
          <w:color w:val="000000"/>
          <w:kern w:val="0"/>
          <w:sz w:val="24"/>
          <w:highlight w:val="none"/>
        </w:rPr>
        <w:t>0</w:t>
      </w:r>
      <w:r>
        <w:rPr>
          <w:rFonts w:ascii="Times New Roman" w:hAnsi="Times New Roman" w:eastAsia="微软雅黑" w:cs="Times New Roman"/>
          <w:b/>
          <w:color w:val="000000"/>
          <w:kern w:val="0"/>
          <w:sz w:val="24"/>
          <w:highlight w:val="none"/>
        </w:rPr>
        <w:t>. </w:t>
      </w:r>
      <w:r>
        <w:rPr>
          <w:rFonts w:hint="eastAsia" w:ascii="宋体" w:hAnsi="宋体" w:eastAsia="宋体" w:cs="宋体"/>
          <w:b/>
          <w:color w:val="000000"/>
          <w:kern w:val="0"/>
          <w:sz w:val="24"/>
          <w:highlight w:val="none"/>
        </w:rPr>
        <w:t>联系方式</w:t>
      </w:r>
    </w:p>
    <w:tbl>
      <w:tblPr>
        <w:tblStyle w:val="3"/>
        <w:tblW w:w="897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06"/>
        <w:gridCol w:w="7373"/>
      </w:tblGrid>
      <w:tr w14:paraId="671FD2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33" w:hRule="atLeast"/>
          <w:jc w:val="center"/>
        </w:trPr>
        <w:tc>
          <w:tcPr>
            <w:tcW w:w="1606" w:type="dxa"/>
            <w:tcBorders>
              <w:top w:val="single" w:color="auto" w:sz="4" w:space="0"/>
              <w:left w:val="single" w:color="auto" w:sz="4" w:space="0"/>
              <w:bottom w:val="nil"/>
              <w:right w:val="single" w:color="auto" w:sz="4" w:space="0"/>
            </w:tcBorders>
            <w:noWrap w:val="0"/>
            <w:vAlign w:val="center"/>
          </w:tcPr>
          <w:p w14:paraId="5AC1A7DF">
            <w:pPr>
              <w:widowControl/>
              <w:spacing w:line="320" w:lineRule="exact"/>
              <w:jc w:val="center"/>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招标人</w:t>
            </w:r>
          </w:p>
        </w:tc>
        <w:tc>
          <w:tcPr>
            <w:tcW w:w="7373" w:type="dxa"/>
            <w:tcBorders>
              <w:top w:val="single" w:color="auto" w:sz="4" w:space="0"/>
              <w:left w:val="nil"/>
              <w:bottom w:val="single" w:color="auto" w:sz="4" w:space="0"/>
              <w:right w:val="single" w:color="auto" w:sz="4" w:space="0"/>
            </w:tcBorders>
            <w:noWrap w:val="0"/>
            <w:vAlign w:val="center"/>
          </w:tcPr>
          <w:p w14:paraId="0BADA09E">
            <w:pPr>
              <w:widowControl/>
              <w:spacing w:line="320" w:lineRule="exact"/>
              <w:jc w:val="left"/>
              <w:rPr>
                <w:rFonts w:hint="eastAsia" w:ascii="Times New Roman" w:hAnsi="宋体" w:eastAsia="宋体" w:cs="Times New Roman"/>
                <w:color w:val="000000"/>
                <w:sz w:val="24"/>
                <w:highlight w:val="none"/>
                <w:lang w:eastAsia="zh-CN"/>
              </w:rPr>
            </w:pPr>
            <w:r>
              <w:rPr>
                <w:rFonts w:hint="eastAsia" w:ascii="宋体" w:hAnsi="宋体" w:eastAsia="宋体" w:cs="Times New Roman"/>
                <w:color w:val="000000"/>
                <w:sz w:val="24"/>
                <w:highlight w:val="none"/>
              </w:rPr>
              <w:t>项目负责人</w:t>
            </w:r>
            <w:r>
              <w:rPr>
                <w:rFonts w:hint="eastAsia" w:ascii="宋体" w:hAnsi="宋体" w:eastAsia="宋体" w:cs="Times New Roman"/>
                <w:color w:val="000000"/>
                <w:sz w:val="24"/>
                <w:highlight w:val="none"/>
                <w:lang w:eastAsia="zh-CN"/>
              </w:rPr>
              <w:t>（</w:t>
            </w:r>
            <w:r>
              <w:rPr>
                <w:rFonts w:hint="eastAsia" w:ascii="宋体" w:hAnsi="宋体" w:eastAsia="宋体" w:cs="Times New Roman"/>
                <w:color w:val="000000"/>
                <w:sz w:val="24"/>
                <w:highlight w:val="none"/>
                <w:lang w:val="en-US" w:eastAsia="zh-CN"/>
              </w:rPr>
              <w:t>质疑受理人</w:t>
            </w:r>
            <w:r>
              <w:rPr>
                <w:rFonts w:hint="eastAsia" w:ascii="宋体" w:hAnsi="宋体" w:eastAsia="宋体" w:cs="Times New Roman"/>
                <w:color w:val="000000"/>
                <w:sz w:val="24"/>
                <w:highlight w:val="none"/>
                <w:lang w:eastAsia="zh-CN"/>
              </w:rPr>
              <w:t>）</w:t>
            </w:r>
          </w:p>
          <w:p w14:paraId="240729EC">
            <w:pPr>
              <w:widowControl/>
              <w:spacing w:line="320" w:lineRule="exact"/>
              <w:jc w:val="left"/>
              <w:rPr>
                <w:rFonts w:hint="eastAsia" w:ascii="Times New Roman" w:hAnsi="宋体" w:eastAsia="宋体" w:cs="Times New Roman"/>
                <w:color w:val="000000"/>
                <w:sz w:val="24"/>
                <w:highlight w:val="none"/>
                <w:lang w:val="en-US" w:eastAsia="zh-CN"/>
              </w:rPr>
            </w:pPr>
            <w:r>
              <w:rPr>
                <w:rFonts w:hint="eastAsia" w:ascii="宋体" w:hAnsi="宋体" w:eastAsia="宋体" w:cs="Times New Roman"/>
                <w:color w:val="000000"/>
                <w:sz w:val="24"/>
                <w:highlight w:val="none"/>
              </w:rPr>
              <w:t>联系人：</w:t>
            </w:r>
            <w:r>
              <w:rPr>
                <w:rFonts w:ascii="Times New Roman" w:hAnsi="Times New Roman" w:eastAsia="宋体" w:cs="Times New Roman"/>
                <w:color w:val="000000"/>
                <w:sz w:val="24"/>
                <w:highlight w:val="none"/>
              </w:rPr>
              <w:t xml:space="preserve"> </w:t>
            </w:r>
            <w:r>
              <w:rPr>
                <w:rFonts w:hint="eastAsia" w:ascii="Times New Roman" w:hAnsi="Times New Roman" w:eastAsia="宋体" w:cs="Times New Roman"/>
                <w:color w:val="000000"/>
                <w:sz w:val="24"/>
                <w:highlight w:val="none"/>
                <w:lang w:val="en-US" w:eastAsia="zh-CN"/>
              </w:rPr>
              <w:t>陈先生</w:t>
            </w:r>
          </w:p>
          <w:p w14:paraId="10570D93">
            <w:pPr>
              <w:widowControl/>
              <w:spacing w:line="320" w:lineRule="exact"/>
              <w:jc w:val="left"/>
              <w:rPr>
                <w:rFonts w:hint="eastAsia" w:ascii="宋体" w:hAnsi="宋体" w:eastAsia="宋体" w:cs="Times New Roman"/>
                <w:color w:val="000000"/>
                <w:sz w:val="24"/>
                <w:highlight w:val="none"/>
              </w:rPr>
            </w:pPr>
            <w:r>
              <w:rPr>
                <w:rFonts w:hint="eastAsia" w:ascii="宋体" w:hAnsi="宋体" w:eastAsia="宋体" w:cs="Times New Roman"/>
                <w:color w:val="000000"/>
                <w:sz w:val="24"/>
                <w:highlight w:val="none"/>
              </w:rPr>
              <w:t>联系电话：15061720320</w:t>
            </w:r>
          </w:p>
          <w:p w14:paraId="4C6A31F5">
            <w:pPr>
              <w:widowControl/>
              <w:spacing w:line="320" w:lineRule="exact"/>
              <w:jc w:val="left"/>
              <w:rPr>
                <w:rFonts w:hint="eastAsia" w:ascii="宋体" w:hAnsi="宋体" w:eastAsia="宋体" w:cs="Times New Roman"/>
                <w:color w:val="000000"/>
                <w:sz w:val="24"/>
                <w:highlight w:val="none"/>
              </w:rPr>
            </w:pPr>
            <w:r>
              <w:rPr>
                <w:rFonts w:hint="eastAsia" w:ascii="宋体" w:hAnsi="宋体" w:eastAsia="宋体" w:cs="Times New Roman"/>
                <w:color w:val="000000"/>
                <w:sz w:val="24"/>
                <w:highlight w:val="none"/>
              </w:rPr>
              <w:t>联系地址：</w:t>
            </w:r>
            <w:r>
              <w:rPr>
                <w:rFonts w:hint="eastAsia" w:ascii="宋体" w:hAnsi="宋体" w:eastAsia="宋体" w:cs="Times New Roman"/>
                <w:color w:val="000000"/>
                <w:sz w:val="24"/>
                <w:highlight w:val="none"/>
                <w:lang w:val="en-US" w:eastAsia="zh-CN"/>
              </w:rPr>
              <w:t>宜兴市周铁镇东湖村（竺西工业集中区）</w:t>
            </w:r>
          </w:p>
          <w:p w14:paraId="3951C7C8">
            <w:pPr>
              <w:widowControl/>
              <w:spacing w:line="320" w:lineRule="exact"/>
              <w:jc w:val="left"/>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邮政编码：214200</w:t>
            </w:r>
            <w:r>
              <w:rPr>
                <w:rFonts w:hint="eastAsia" w:ascii="宋体" w:hAnsi="宋体" w:eastAsia="宋体" w:cs="Times New Roman"/>
                <w:color w:val="000000"/>
                <w:sz w:val="24"/>
                <w:highlight w:val="none"/>
                <w:lang w:val="en-US" w:eastAsia="zh-CN"/>
              </w:rPr>
              <w:t xml:space="preserve"> </w:t>
            </w:r>
          </w:p>
        </w:tc>
      </w:tr>
      <w:tr w14:paraId="02647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5" w:hRule="atLeast"/>
          <w:jc w:val="center"/>
        </w:trPr>
        <w:tc>
          <w:tcPr>
            <w:tcW w:w="1606" w:type="dxa"/>
            <w:tcBorders>
              <w:top w:val="single" w:color="auto" w:sz="4" w:space="0"/>
              <w:left w:val="single" w:color="auto" w:sz="4" w:space="0"/>
              <w:bottom w:val="single" w:color="auto" w:sz="4" w:space="0"/>
              <w:right w:val="single" w:color="auto" w:sz="4" w:space="0"/>
            </w:tcBorders>
            <w:noWrap w:val="0"/>
            <w:vAlign w:val="center"/>
          </w:tcPr>
          <w:p w14:paraId="47735862">
            <w:pPr>
              <w:widowControl/>
              <w:spacing w:line="320" w:lineRule="exact"/>
              <w:jc w:val="center"/>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代理机构</w:t>
            </w:r>
          </w:p>
        </w:tc>
        <w:tc>
          <w:tcPr>
            <w:tcW w:w="7373" w:type="dxa"/>
            <w:tcBorders>
              <w:top w:val="single" w:color="auto" w:sz="4" w:space="0"/>
              <w:left w:val="nil"/>
              <w:bottom w:val="single" w:color="auto" w:sz="4" w:space="0"/>
              <w:right w:val="single" w:color="auto" w:sz="4" w:space="0"/>
            </w:tcBorders>
            <w:noWrap w:val="0"/>
            <w:vAlign w:val="center"/>
          </w:tcPr>
          <w:p w14:paraId="46CFADD0">
            <w:pPr>
              <w:widowControl/>
              <w:spacing w:line="320" w:lineRule="exact"/>
              <w:jc w:val="left"/>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联系人：</w:t>
            </w:r>
            <w:r>
              <w:rPr>
                <w:rFonts w:ascii="Times New Roman" w:hAnsi="Times New Roman" w:eastAsia="宋体" w:cs="Times New Roman"/>
                <w:color w:val="000000"/>
                <w:sz w:val="24"/>
                <w:highlight w:val="none"/>
              </w:rPr>
              <w:t xml:space="preserve"> </w:t>
            </w:r>
            <w:r>
              <w:rPr>
                <w:rFonts w:hint="eastAsia" w:ascii="Times New Roman" w:hAnsi="Times New Roman" w:eastAsia="宋体" w:cs="Times New Roman"/>
                <w:color w:val="000000"/>
                <w:sz w:val="24"/>
                <w:highlight w:val="none"/>
                <w:lang w:eastAsia="zh-CN"/>
              </w:rPr>
              <w:t>刘</w:t>
            </w:r>
            <w:r>
              <w:rPr>
                <w:rFonts w:hint="eastAsia" w:ascii="Times New Roman" w:hAnsi="Times New Roman" w:eastAsia="宋体" w:cs="Times New Roman"/>
                <w:color w:val="000000"/>
                <w:sz w:val="24"/>
                <w:highlight w:val="none"/>
              </w:rPr>
              <w:t>先生</w:t>
            </w:r>
          </w:p>
          <w:p w14:paraId="5E21945E">
            <w:pPr>
              <w:widowControl/>
              <w:spacing w:line="320" w:lineRule="exact"/>
              <w:jc w:val="left"/>
              <w:rPr>
                <w:rFonts w:hint="default" w:ascii="Times New Roman" w:hAnsi="宋体" w:eastAsia="宋体" w:cs="Times New Roman"/>
                <w:color w:val="000000"/>
                <w:sz w:val="24"/>
                <w:highlight w:val="none"/>
                <w:lang w:val="en-US" w:eastAsia="zh-CN"/>
              </w:rPr>
            </w:pPr>
            <w:r>
              <w:rPr>
                <w:rFonts w:hint="eastAsia" w:ascii="宋体" w:hAnsi="宋体" w:eastAsia="宋体" w:cs="Times New Roman"/>
                <w:color w:val="000000"/>
                <w:sz w:val="24"/>
                <w:highlight w:val="none"/>
              </w:rPr>
              <w:t>联系电话：</w:t>
            </w:r>
            <w:r>
              <w:rPr>
                <w:rFonts w:hint="eastAsia" w:ascii="宋体" w:hAnsi="宋体" w:eastAsia="宋体" w:cs="Times New Roman"/>
                <w:color w:val="000000"/>
                <w:sz w:val="24"/>
                <w:highlight w:val="none"/>
                <w:lang w:val="en-US" w:eastAsia="zh-CN"/>
              </w:rPr>
              <w:t>18861558989</w:t>
            </w:r>
          </w:p>
          <w:p w14:paraId="5CC7FD94">
            <w:pPr>
              <w:widowControl/>
              <w:spacing w:line="320" w:lineRule="exact"/>
              <w:jc w:val="left"/>
              <w:rPr>
                <w:rFonts w:hint="default" w:ascii="Times New Roman" w:hAnsi="宋体" w:eastAsia="宋体" w:cs="Times New Roman"/>
                <w:color w:val="000000"/>
                <w:sz w:val="24"/>
                <w:highlight w:val="none"/>
                <w:lang w:val="en-US" w:eastAsia="zh-CN"/>
              </w:rPr>
            </w:pPr>
            <w:r>
              <w:rPr>
                <w:rFonts w:hint="eastAsia" w:ascii="宋体" w:hAnsi="宋体" w:eastAsia="宋体" w:cs="Times New Roman"/>
                <w:color w:val="000000"/>
                <w:sz w:val="24"/>
                <w:highlight w:val="none"/>
              </w:rPr>
              <w:t>联系地址：宜兴市</w:t>
            </w:r>
            <w:r>
              <w:rPr>
                <w:rFonts w:hint="eastAsia" w:ascii="宋体" w:hAnsi="宋体" w:eastAsia="宋体" w:cs="Times New Roman"/>
                <w:color w:val="000000"/>
                <w:sz w:val="24"/>
                <w:highlight w:val="none"/>
                <w:lang w:val="en-US" w:eastAsia="zh-CN"/>
              </w:rPr>
              <w:t>杏园路108号科创商务中心5号楼</w:t>
            </w:r>
          </w:p>
          <w:p w14:paraId="6B0A6E18">
            <w:pPr>
              <w:widowControl/>
              <w:spacing w:line="320" w:lineRule="exact"/>
              <w:jc w:val="left"/>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邮政编码：</w:t>
            </w:r>
            <w:r>
              <w:rPr>
                <w:rFonts w:hint="eastAsia" w:ascii="Times New Roman" w:hAnsi="Times New Roman" w:eastAsia="宋体" w:cs="Times New Roman"/>
                <w:color w:val="000000"/>
                <w:sz w:val="24"/>
                <w:highlight w:val="none"/>
              </w:rPr>
              <w:t>214200</w:t>
            </w:r>
          </w:p>
        </w:tc>
      </w:tr>
      <w:tr w14:paraId="2B0D8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4" w:hRule="atLeast"/>
          <w:jc w:val="center"/>
        </w:trPr>
        <w:tc>
          <w:tcPr>
            <w:tcW w:w="1606" w:type="dxa"/>
            <w:tcBorders>
              <w:top w:val="single" w:color="auto" w:sz="4" w:space="0"/>
              <w:left w:val="single" w:color="auto" w:sz="4" w:space="0"/>
              <w:bottom w:val="single" w:color="auto" w:sz="4" w:space="0"/>
              <w:right w:val="single" w:color="auto" w:sz="4" w:space="0"/>
            </w:tcBorders>
            <w:noWrap w:val="0"/>
            <w:vAlign w:val="center"/>
          </w:tcPr>
          <w:p w14:paraId="1CC8AF23">
            <w:pPr>
              <w:widowControl/>
              <w:spacing w:line="320" w:lineRule="exact"/>
              <w:jc w:val="center"/>
              <w:rPr>
                <w:rFonts w:ascii="Times New Roman" w:hAnsi="宋体" w:eastAsia="宋体" w:cs="Times New Roman"/>
                <w:color w:val="000000"/>
                <w:sz w:val="24"/>
                <w:highlight w:val="none"/>
              </w:rPr>
            </w:pPr>
            <w:r>
              <w:rPr>
                <w:rFonts w:hint="eastAsia" w:ascii="宋体" w:hAnsi="宋体" w:eastAsia="宋体" w:cs="Times New Roman"/>
                <w:color w:val="000000"/>
                <w:sz w:val="24"/>
                <w:highlight w:val="none"/>
              </w:rPr>
              <w:t>监管部门</w:t>
            </w:r>
          </w:p>
        </w:tc>
        <w:tc>
          <w:tcPr>
            <w:tcW w:w="7373" w:type="dxa"/>
            <w:tcBorders>
              <w:top w:val="single" w:color="auto" w:sz="4" w:space="0"/>
              <w:left w:val="nil"/>
              <w:bottom w:val="single" w:color="auto" w:sz="4" w:space="0"/>
              <w:right w:val="single" w:color="auto" w:sz="4" w:space="0"/>
            </w:tcBorders>
            <w:noWrap w:val="0"/>
            <w:vAlign w:val="center"/>
          </w:tcPr>
          <w:p w14:paraId="1BA41860">
            <w:pPr>
              <w:spacing w:line="240" w:lineRule="atLeast"/>
              <w:jc w:val="left"/>
              <w:rPr>
                <w:rFonts w:hint="eastAsia" w:ascii="宋体" w:hAnsi="Times New Roman" w:eastAsia="宋体" w:cs="Times New Roman"/>
                <w:bCs/>
                <w:sz w:val="24"/>
                <w:szCs w:val="24"/>
                <w:highlight w:val="none"/>
              </w:rPr>
            </w:pPr>
            <w:r>
              <w:rPr>
                <w:rFonts w:hint="eastAsia" w:ascii="宋体" w:hAnsi="Times New Roman" w:eastAsia="宋体" w:cs="Times New Roman"/>
                <w:bCs/>
                <w:sz w:val="24"/>
                <w:szCs w:val="24"/>
                <w:highlight w:val="none"/>
                <w:lang w:val="en-US" w:eastAsia="zh-CN"/>
              </w:rPr>
              <w:t>招标</w:t>
            </w:r>
            <w:r>
              <w:rPr>
                <w:rFonts w:hint="eastAsia" w:ascii="宋体" w:hAnsi="Times New Roman" w:eastAsia="宋体" w:cs="Times New Roman"/>
                <w:bCs/>
                <w:sz w:val="24"/>
                <w:szCs w:val="24"/>
                <w:highlight w:val="none"/>
              </w:rPr>
              <w:t>监督管理及投诉处理主体：</w:t>
            </w:r>
          </w:p>
          <w:p w14:paraId="053BD1FB">
            <w:pPr>
              <w:spacing w:line="240" w:lineRule="atLeast"/>
              <w:jc w:val="left"/>
              <w:rPr>
                <w:rFonts w:hint="eastAsia" w:ascii="宋体" w:hAnsi="Times New Roman" w:eastAsia="宋体" w:cs="Times New Roman"/>
                <w:bCs/>
                <w:sz w:val="24"/>
                <w:szCs w:val="24"/>
                <w:highlight w:val="none"/>
              </w:rPr>
            </w:pPr>
            <w:r>
              <w:rPr>
                <w:rFonts w:hint="eastAsia" w:ascii="宋体" w:hAnsi="Times New Roman" w:eastAsia="宋体" w:cs="Times New Roman"/>
                <w:bCs/>
                <w:sz w:val="24"/>
                <w:szCs w:val="24"/>
                <w:highlight w:val="none"/>
              </w:rPr>
              <w:t>宜兴市公用环保集团有限公司</w:t>
            </w:r>
          </w:p>
          <w:p w14:paraId="49B30DB5">
            <w:pPr>
              <w:widowControl/>
              <w:spacing w:line="320" w:lineRule="exact"/>
              <w:jc w:val="left"/>
              <w:rPr>
                <w:rFonts w:ascii="Times New Roman" w:hAnsi="宋体" w:eastAsia="宋体" w:cs="Times New Roman"/>
                <w:color w:val="000000"/>
                <w:sz w:val="24"/>
                <w:highlight w:val="none"/>
              </w:rPr>
            </w:pPr>
            <w:r>
              <w:rPr>
                <w:rFonts w:hint="eastAsia" w:ascii="宋体" w:hAnsi="Times New Roman" w:eastAsia="宋体" w:cs="Times New Roman"/>
                <w:bCs/>
                <w:sz w:val="24"/>
                <w:szCs w:val="24"/>
                <w:highlight w:val="none"/>
              </w:rPr>
              <w:t>联系地址：宜兴市环科园科技孵化园1112室</w:t>
            </w:r>
          </w:p>
        </w:tc>
      </w:tr>
    </w:tbl>
    <w:p w14:paraId="682C66F6">
      <w:pPr>
        <w:spacing w:line="360" w:lineRule="auto"/>
        <w:jc w:val="right"/>
        <w:rPr>
          <w:rFonts w:hint="eastAsia" w:ascii="宋体" w:hAnsi="宋体" w:eastAsia="宋体" w:cs="楷体"/>
          <w:color w:val="000000"/>
          <w:sz w:val="24"/>
          <w:highlight w:val="none"/>
        </w:rPr>
      </w:pPr>
    </w:p>
    <w:p w14:paraId="3F68736E">
      <w:pPr>
        <w:jc w:val="right"/>
      </w:pPr>
      <w:r>
        <w:rPr>
          <w:rFonts w:hint="eastAsia" w:ascii="宋体" w:hAnsi="宋体" w:eastAsia="宋体" w:cs="楷体"/>
          <w:color w:val="000000"/>
          <w:sz w:val="24"/>
          <w:highlight w:val="none"/>
        </w:rPr>
        <w:t xml:space="preserve"> </w:t>
      </w:r>
      <w:bookmarkStart w:id="0" w:name="_GoBack"/>
      <w:bookmarkEnd w:id="0"/>
      <w:r>
        <w:rPr>
          <w:rFonts w:hint="eastAsia" w:ascii="宋体" w:hAnsi="宋体" w:eastAsia="宋体" w:cs="楷体"/>
          <w:color w:val="000000"/>
          <w:sz w:val="24"/>
          <w:highlight w:val="none"/>
        </w:rPr>
        <w:t>202</w:t>
      </w:r>
      <w:r>
        <w:rPr>
          <w:rFonts w:hint="eastAsia" w:ascii="宋体" w:hAnsi="宋体" w:eastAsia="宋体" w:cs="楷体"/>
          <w:color w:val="000000"/>
          <w:sz w:val="24"/>
          <w:highlight w:val="none"/>
          <w:lang w:val="en-US" w:eastAsia="zh-CN"/>
        </w:rPr>
        <w:t>4</w:t>
      </w:r>
      <w:r>
        <w:rPr>
          <w:rFonts w:hint="eastAsia" w:ascii="宋体" w:hAnsi="宋体" w:eastAsia="宋体" w:cs="楷体"/>
          <w:color w:val="000000"/>
          <w:sz w:val="24"/>
          <w:highlight w:val="none"/>
        </w:rPr>
        <w:t>年</w:t>
      </w:r>
      <w:r>
        <w:rPr>
          <w:rFonts w:hint="eastAsia" w:ascii="宋体" w:hAnsi="宋体" w:eastAsia="宋体" w:cs="楷体"/>
          <w:color w:val="000000"/>
          <w:sz w:val="24"/>
          <w:highlight w:val="none"/>
          <w:lang w:val="en-US" w:eastAsia="zh-CN"/>
        </w:rPr>
        <w:t>8</w:t>
      </w:r>
      <w:r>
        <w:rPr>
          <w:rFonts w:hint="eastAsia" w:ascii="宋体" w:hAnsi="宋体" w:eastAsia="宋体" w:cs="楷体"/>
          <w:color w:val="000000"/>
          <w:sz w:val="24"/>
          <w:highlight w:val="none"/>
        </w:rPr>
        <w:t>月</w:t>
      </w:r>
      <w:r>
        <w:rPr>
          <w:rFonts w:hint="eastAsia" w:ascii="宋体" w:hAnsi="宋体" w:eastAsia="宋体" w:cs="楷体"/>
          <w:color w:val="000000"/>
          <w:sz w:val="24"/>
          <w:highlight w:val="none"/>
          <w:lang w:val="en-US" w:eastAsia="zh-CN"/>
        </w:rPr>
        <w:t>21</w:t>
      </w:r>
      <w:r>
        <w:rPr>
          <w:rFonts w:hint="eastAsia" w:ascii="宋体" w:hAnsi="宋体" w:eastAsia="宋体" w:cs="楷体"/>
          <w:color w:val="000000"/>
          <w:sz w:val="24"/>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4MmVkOTA1MjFjYzMwZWNmZGFhODliZDBjZWU4YWMifQ=="/>
  </w:docVars>
  <w:rsids>
    <w:rsidRoot w:val="00000000"/>
    <w:rsid w:val="022330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line="0" w:lineRule="atLeast"/>
      <w:jc w:val="both"/>
    </w:pPr>
    <w:rPr>
      <w:rFonts w:ascii="Times New Roman" w:hAnsi="Times New Roman" w:eastAsia="宋体" w:cs="Times New Roman"/>
      <w:kern w:val="2"/>
      <w:sz w:val="30"/>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2024-08-21T07:15:29Z</dcterms:created>
  <dc:creator>jshcg</dc:creator>
  <cp:lastModifiedBy>刘祥</cp:lastModifiedBy>
  <dcterms:modified xsi:type="dcterms:W3CDTF">2024-08-21T07:15:48Z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5008FB7FF88D4F65B2A30F048946DBA0_12</vt:lpwstr>
  </property>
</Properties>
</file>