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4" w:name="_GoBack"/>
      <w:bookmarkEnd w:id="104"/>
    </w:p>
    <w:p>
      <w:pPr>
        <w:jc w:val="center"/>
        <w:rPr>
          <w:rFonts w:hint="eastAsia" w:ascii="宋体" w:hAnsi="宋体" w:cs="宋体"/>
          <w:b/>
          <w:bCs/>
          <w:sz w:val="36"/>
          <w:szCs w:val="36"/>
        </w:rPr>
      </w:pPr>
      <w:r>
        <w:rPr>
          <w:rFonts w:hint="eastAsia" w:ascii="宋体" w:hAnsi="宋体" w:cs="宋体"/>
          <w:b/>
          <w:bCs/>
          <w:sz w:val="36"/>
          <w:szCs w:val="36"/>
        </w:rPr>
        <w:t>宜兴水务集团有限公司无缝钢管、螺旋缝埋弧焊钢管采购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ind w:left="840" w:hanging="840"/>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YXGYJT202201003</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二二年一月十三日</w:t>
      </w:r>
    </w:p>
    <w:p>
      <w:pPr>
        <w:jc w:val="center"/>
        <w:outlineLvl w:val="0"/>
        <w:rPr>
          <w:rFonts w:hint="eastAsia" w:ascii="黑体" w:hAnsi="黑体" w:eastAsia="黑体"/>
          <w:sz w:val="32"/>
          <w:szCs w:val="32"/>
        </w:rPr>
      </w:pPr>
      <w:bookmarkStart w:id="0" w:name="OLE_LINK7"/>
    </w:p>
    <w:p>
      <w:pPr>
        <w:pStyle w:val="2"/>
        <w:ind w:firstLine="210"/>
        <w:rPr>
          <w:rFonts w:hint="eastAsia"/>
        </w:rPr>
      </w:pPr>
    </w:p>
    <w:p>
      <w:pPr>
        <w:pStyle w:val="2"/>
        <w:ind w:firstLine="210"/>
        <w:rPr>
          <w:rFonts w:hint="eastAsia"/>
        </w:rPr>
      </w:pPr>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宜兴水务集团有限公司对</w:t>
      </w:r>
      <w:r>
        <w:rPr>
          <w:rFonts w:hint="eastAsia"/>
          <w:sz w:val="24"/>
        </w:rPr>
        <w:t>无缝钢管、螺旋缝埋弧焊钢管</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290"/>
            </w:pPr>
            <w:bookmarkStart w:id="2" w:name="OLE_LINK192"/>
            <w:r>
              <w:rPr>
                <w:rFonts w:hint="eastAsia"/>
              </w:rPr>
              <w:t>采购人：宜兴水务集团有限公司</w:t>
            </w:r>
          </w:p>
          <w:p>
            <w:pPr>
              <w:spacing w:line="400" w:lineRule="exact"/>
              <w:jc w:val="left"/>
              <w:rPr>
                <w:rFonts w:hint="eastAsia" w:ascii="宋体" w:hAnsi="宋体"/>
                <w:bCs/>
                <w:sz w:val="24"/>
                <w:szCs w:val="24"/>
              </w:rPr>
            </w:pPr>
            <w:r>
              <w:rPr>
                <w:rFonts w:hint="eastAsia"/>
              </w:rPr>
              <w:t>项目名称：</w:t>
            </w:r>
            <w:r>
              <w:rPr>
                <w:rFonts w:hint="eastAsia"/>
                <w:sz w:val="24"/>
              </w:rPr>
              <w:t>无缝钢管、螺旋缝埋弧焊钢管</w:t>
            </w:r>
            <w:r>
              <w:rPr>
                <w:rFonts w:hint="eastAsia" w:ascii="宋体" w:hAnsi="宋体"/>
                <w:bCs/>
                <w:sz w:val="24"/>
                <w:szCs w:val="24"/>
              </w:rPr>
              <w:t>采购</w:t>
            </w:r>
          </w:p>
          <w:p>
            <w:pPr>
              <w:pStyle w:val="290"/>
              <w:rPr>
                <w:rFonts w:hint="eastAsia"/>
              </w:rPr>
            </w:pPr>
            <w:r>
              <w:rPr>
                <w:rFonts w:hint="eastAsia"/>
              </w:rPr>
              <w:t>项目编号</w:t>
            </w:r>
            <w:r>
              <w:t>: YXGYJT202201003</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49.5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290"/>
            </w:pPr>
            <w:r>
              <w:rPr>
                <w:rFonts w:hint="eastAsia"/>
              </w:rPr>
              <w:t>2.1投标人参加本次投标活动应具备下列资格条件：</w:t>
            </w:r>
          </w:p>
          <w:p>
            <w:pPr>
              <w:jc w:val="left"/>
              <w:rPr>
                <w:rFonts w:ascii="宋体" w:hAnsi="宋体"/>
                <w:bCs/>
                <w:color w:val="000000"/>
                <w:sz w:val="24"/>
                <w:szCs w:val="24"/>
              </w:rPr>
            </w:pPr>
            <w:r>
              <w:rPr>
                <w:rFonts w:hint="eastAsia" w:ascii="宋体" w:hAnsi="宋体"/>
                <w:bCs/>
                <w:color w:val="000000"/>
                <w:sz w:val="24"/>
                <w:szCs w:val="24"/>
              </w:rPr>
              <w:t>①</w:t>
            </w:r>
            <w:r>
              <w:rPr>
                <w:rFonts w:ascii="宋体" w:hAnsi="宋体"/>
                <w:bCs/>
                <w:color w:val="000000"/>
                <w:sz w:val="24"/>
                <w:szCs w:val="24"/>
              </w:rPr>
              <w:t>具有独立承担民事责任的能力</w:t>
            </w:r>
            <w:r>
              <w:rPr>
                <w:rFonts w:hint="eastAsia" w:ascii="宋体" w:hAnsi="宋体"/>
                <w:sz w:val="24"/>
                <w:szCs w:val="24"/>
              </w:rPr>
              <w:t>的专业制造商或经授权的代理商，如为代理商参加成交后签订合同前提供制造商对本项目的授权书（携带原件），制造商和代理商如同时参与，只接受制造商报价。</w:t>
            </w:r>
          </w:p>
          <w:p>
            <w:pPr>
              <w:jc w:val="left"/>
              <w:rPr>
                <w:rFonts w:ascii="宋体" w:hAnsi="宋体"/>
                <w:bCs/>
                <w:color w:val="000000"/>
                <w:sz w:val="24"/>
                <w:szCs w:val="24"/>
              </w:rPr>
            </w:pPr>
            <w:r>
              <w:rPr>
                <w:rFonts w:hint="eastAsia" w:ascii="宋体" w:hAnsi="宋体"/>
                <w:bCs/>
                <w:color w:val="000000"/>
                <w:sz w:val="24"/>
                <w:szCs w:val="24"/>
              </w:rPr>
              <w:t>②</w:t>
            </w:r>
            <w:r>
              <w:rPr>
                <w:rFonts w:ascii="宋体" w:hAnsi="宋体"/>
                <w:bCs/>
                <w:color w:val="000000"/>
                <w:sz w:val="24"/>
                <w:szCs w:val="24"/>
              </w:rPr>
              <w:t>有依法缴纳税收和社会保障资金的良好记录；</w:t>
            </w:r>
          </w:p>
          <w:p>
            <w:pPr>
              <w:jc w:val="left"/>
              <w:rPr>
                <w:rFonts w:ascii="宋体" w:hAnsi="宋体"/>
                <w:bCs/>
                <w:color w:val="000000"/>
                <w:sz w:val="24"/>
                <w:szCs w:val="24"/>
              </w:rPr>
            </w:pPr>
            <w:r>
              <w:rPr>
                <w:rFonts w:hint="eastAsia" w:ascii="宋体" w:hAnsi="宋体"/>
                <w:bCs/>
                <w:color w:val="000000"/>
                <w:sz w:val="24"/>
                <w:szCs w:val="24"/>
              </w:rPr>
              <w:t>③</w:t>
            </w:r>
            <w:r>
              <w:rPr>
                <w:rFonts w:ascii="宋体" w:hAnsi="宋体"/>
                <w:bCs/>
                <w:color w:val="000000"/>
                <w:sz w:val="24"/>
                <w:szCs w:val="24"/>
              </w:rPr>
              <w:t>具有履行合同所必需的设备和专业技术能力；</w:t>
            </w:r>
          </w:p>
          <w:p>
            <w:pPr>
              <w:jc w:val="left"/>
              <w:rPr>
                <w:rFonts w:ascii="宋体" w:hAnsi="宋体"/>
                <w:bCs/>
                <w:color w:val="000000"/>
                <w:sz w:val="24"/>
                <w:szCs w:val="24"/>
              </w:rPr>
            </w:pPr>
            <w:r>
              <w:rPr>
                <w:rFonts w:hint="eastAsia" w:ascii="宋体" w:hAnsi="宋体"/>
                <w:bCs/>
                <w:color w:val="000000"/>
                <w:sz w:val="24"/>
                <w:szCs w:val="24"/>
              </w:rPr>
              <w:t>④</w:t>
            </w:r>
            <w:r>
              <w:rPr>
                <w:rFonts w:ascii="宋体" w:hAnsi="宋体"/>
                <w:bCs/>
                <w:color w:val="000000"/>
                <w:sz w:val="24"/>
                <w:szCs w:val="24"/>
              </w:rPr>
              <w:t>不接受联合体，不接受</w:t>
            </w:r>
            <w:r>
              <w:rPr>
                <w:rFonts w:hint="eastAsia" w:ascii="宋体" w:hAnsi="宋体"/>
                <w:bCs/>
                <w:color w:val="000000"/>
                <w:sz w:val="24"/>
                <w:szCs w:val="24"/>
              </w:rPr>
              <w:t>成交</w:t>
            </w:r>
            <w:r>
              <w:rPr>
                <w:rFonts w:ascii="宋体" w:hAnsi="宋体"/>
                <w:bCs/>
                <w:color w:val="000000"/>
                <w:sz w:val="24"/>
                <w:szCs w:val="24"/>
              </w:rPr>
              <w:t>后分包；</w:t>
            </w:r>
          </w:p>
          <w:p>
            <w:pPr>
              <w:jc w:val="left"/>
            </w:pPr>
            <w:r>
              <w:rPr>
                <w:rFonts w:hint="eastAsia" w:ascii="宋体" w:hAnsi="宋体"/>
                <w:bCs/>
                <w:color w:val="000000"/>
                <w:sz w:val="24"/>
                <w:szCs w:val="24"/>
              </w:rPr>
              <w:t>⑤无不良信用记录。</w:t>
            </w:r>
          </w:p>
          <w:p>
            <w:pPr>
              <w:jc w:val="left"/>
              <w:rPr>
                <w:rFonts w:hint="eastAsia" w:ascii="宋体" w:hAnsi="宋体"/>
                <w:bCs/>
                <w:color w:val="000000"/>
                <w:sz w:val="24"/>
                <w:szCs w:val="24"/>
              </w:rPr>
            </w:pPr>
            <w:r>
              <w:rPr>
                <w:rFonts w:hint="eastAsia" w:ascii="宋体" w:hAnsi="宋体"/>
                <w:bCs/>
                <w:color w:val="000000"/>
                <w:sz w:val="24"/>
                <w:szCs w:val="24"/>
              </w:rPr>
              <w:t>⑥</w:t>
            </w:r>
            <w:r>
              <w:rPr>
                <w:rFonts w:hint="eastAsia" w:ascii="宋体" w:hAnsi="宋体"/>
                <w:sz w:val="24"/>
                <w:szCs w:val="24"/>
              </w:rPr>
              <w:t>供应商</w:t>
            </w:r>
            <w:r>
              <w:rPr>
                <w:rFonts w:ascii="宋体" w:hAnsi="宋体"/>
                <w:sz w:val="24"/>
                <w:szCs w:val="24"/>
              </w:rPr>
              <w:t>是否具有做钢管内外防腐的能力，以其营业执照经营范围为准，如</w:t>
            </w:r>
            <w:r>
              <w:rPr>
                <w:rFonts w:hint="eastAsia" w:ascii="宋体" w:hAnsi="宋体"/>
                <w:sz w:val="24"/>
                <w:szCs w:val="24"/>
              </w:rPr>
              <w:t>供应商</w:t>
            </w:r>
            <w:r>
              <w:rPr>
                <w:rFonts w:ascii="宋体" w:hAnsi="宋体"/>
                <w:sz w:val="24"/>
                <w:szCs w:val="24"/>
              </w:rPr>
              <w:t>无做钢管内外防腐的能力，可以自行选择专业防腐企业，在</w:t>
            </w:r>
            <w:r>
              <w:rPr>
                <w:rFonts w:hint="eastAsia" w:ascii="宋体" w:hAnsi="宋体"/>
                <w:sz w:val="24"/>
                <w:szCs w:val="24"/>
              </w:rPr>
              <w:t>响应</w:t>
            </w:r>
            <w:r>
              <w:rPr>
                <w:rFonts w:ascii="宋体" w:hAnsi="宋体"/>
                <w:sz w:val="24"/>
                <w:szCs w:val="24"/>
              </w:rPr>
              <w:t>文件中明确防腐企业名称，并提供加盖双方企业公章的协议书；</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必须提交相应原件或清晰扫描件）</w:t>
            </w:r>
          </w:p>
          <w:p>
            <w:r>
              <w:rPr>
                <w:rFonts w:hint="eastAsia" w:hAnsi="宋体"/>
                <w:bCs/>
                <w:color w:val="000000"/>
                <w:szCs w:val="24"/>
              </w:rPr>
              <w:t>⑦</w:t>
            </w:r>
            <w:r>
              <w:rPr>
                <w:rFonts w:hint="eastAsia" w:hAnsi="宋体"/>
                <w:szCs w:val="24"/>
              </w:rPr>
              <w:t>供应商产品或原料具有饮用水卫生安全产品卫生许可证</w:t>
            </w:r>
            <w:r>
              <w:rPr>
                <w:rFonts w:hint="eastAsia" w:hAnsi="宋体"/>
                <w:b/>
                <w:bCs/>
                <w:color w:val="000000"/>
                <w:szCs w:val="24"/>
              </w:rPr>
              <w:t>提交响应文件时间截止前必须提交相应原件或清晰扫描件）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80"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jc w:val="left"/>
              <w:rPr>
                <w:rFonts w:hint="eastAsia" w:ascii="宋体" w:hAnsi="宋体"/>
                <w:sz w:val="24"/>
                <w:szCs w:val="24"/>
              </w:rPr>
            </w:pPr>
            <w:r>
              <w:rPr>
                <w:rFonts w:hint="eastAsia" w:ascii="宋体" w:hAnsi="宋体"/>
                <w:sz w:val="24"/>
                <w:szCs w:val="24"/>
              </w:rPr>
              <w:t>2.2，原材料（钢材）参照</w:t>
            </w:r>
            <w:r>
              <w:rPr>
                <w:rFonts w:ascii="宋体" w:hAnsi="宋体"/>
                <w:sz w:val="24"/>
                <w:szCs w:val="24"/>
              </w:rPr>
              <w:t>(</w:t>
            </w:r>
            <w:r>
              <w:rPr>
                <w:rFonts w:hint="eastAsia" w:ascii="宋体" w:hAnsi="宋体"/>
                <w:sz w:val="24"/>
                <w:szCs w:val="24"/>
              </w:rPr>
              <w:t>或相当于</w:t>
            </w:r>
            <w:r>
              <w:rPr>
                <w:rFonts w:ascii="宋体" w:hAnsi="宋体"/>
                <w:sz w:val="24"/>
                <w:szCs w:val="24"/>
              </w:rPr>
              <w:t>)</w:t>
            </w:r>
            <w:r>
              <w:rPr>
                <w:rFonts w:hint="eastAsia" w:ascii="宋体" w:hAnsi="宋体"/>
                <w:sz w:val="24"/>
                <w:szCs w:val="24"/>
              </w:rPr>
              <w:t>下列品牌：</w:t>
            </w:r>
          </w:p>
          <w:p>
            <w:pPr>
              <w:jc w:val="left"/>
              <w:rPr>
                <w:rFonts w:hint="eastAsia" w:ascii="宋体" w:hAnsi="宋体"/>
                <w:sz w:val="24"/>
                <w:szCs w:val="24"/>
              </w:rPr>
            </w:pPr>
            <w:r>
              <w:rPr>
                <w:rFonts w:hint="eastAsia" w:ascii="宋体" w:hAnsi="宋体"/>
                <w:sz w:val="24"/>
                <w:szCs w:val="24"/>
              </w:rPr>
              <w:t>马钢、鞍钢、宝钢、沙钢</w:t>
            </w:r>
          </w:p>
          <w:p>
            <w:pPr>
              <w:rPr>
                <w:rFonts w:ascii="宋体" w:hAnsi="宋体"/>
                <w:sz w:val="24"/>
                <w:szCs w:val="24"/>
              </w:rPr>
            </w:pPr>
            <w:r>
              <w:rPr>
                <w:rFonts w:hint="eastAsia" w:ascii="宋体" w:hAnsi="宋体"/>
                <w:sz w:val="24"/>
                <w:szCs w:val="24"/>
              </w:rPr>
              <w:t>注：除以上明确的品牌外，欢迎其他在品牌知名度、信誉度、质量、性能、技术指标等方面不低于上述品牌的产品参加，但必须在2022年 1月18日时间前，以书面形式（加盖公章）向采购人提出，并附产品详细技术参数，并证明所投品牌的技术需求和性能与参照品牌同档次或高于参照品牌档次，征得采购人的认可并在更正公告中公布后才可参加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85"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290"/>
              <w:spacing w:line="276" w:lineRule="auto"/>
              <w:rPr>
                <w:rFonts w:hint="eastAsia"/>
                <w:lang w:val="zh-CN"/>
              </w:rPr>
            </w:pPr>
            <w:r>
              <w:rPr>
                <w:rFonts w:hint="eastAsia"/>
                <w:lang w:val="zh-CN"/>
              </w:rPr>
              <w:t>2.</w:t>
            </w:r>
            <w:r>
              <w:rPr>
                <w:rFonts w:hint="eastAsia"/>
              </w:rPr>
              <w:t>3</w:t>
            </w:r>
            <w:r>
              <w:rPr>
                <w:rFonts w:hint="eastAsia"/>
                <w:lang w:val="zh-CN"/>
              </w:rPr>
              <w:t xml:space="preserve"> 拒绝下述供应商参加本次采购活动：</w:t>
            </w:r>
          </w:p>
          <w:p>
            <w:pPr>
              <w:autoSpaceDE w:val="0"/>
              <w:autoSpaceDN w:val="0"/>
              <w:adjustRightInd w:val="0"/>
              <w:rPr>
                <w:rFonts w:hint="eastAsia"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，否则相关报价将被认定为无效报价；</w:t>
            </w:r>
          </w:p>
          <w:p>
            <w:pPr>
              <w:jc w:val="left"/>
              <w:rPr>
                <w:rFonts w:hint="eastAsia" w:ascii="宋体" w:hAnsi="宋体"/>
                <w:sz w:val="24"/>
                <w:szCs w:val="24"/>
              </w:rPr>
            </w:pPr>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项目的采购活动</w:t>
            </w:r>
            <w:r>
              <w:rPr>
                <w:rFonts w:hint="eastAsia" w:ascii="宋体" w:hAnsi="宋体"/>
                <w:bCs/>
                <w:sz w:val="24"/>
                <w:szCs w:val="21"/>
              </w:rPr>
              <w:t>，否则其报价将被认定为无效报价</w:t>
            </w:r>
            <w:r>
              <w:rPr>
                <w:rFonts w:ascii="宋体" w:hAnsi="宋体"/>
                <w:bCs/>
                <w:sz w:val="24"/>
                <w:szCs w:val="21"/>
              </w:rPr>
              <w:t>。</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400" w:lineRule="exact"/>
              <w:rPr>
                <w:rFonts w:ascii="宋体" w:hAnsi="宋体"/>
                <w:bCs/>
                <w:sz w:val="24"/>
                <w:szCs w:val="24"/>
              </w:rPr>
            </w:pPr>
            <w:r>
              <w:rPr>
                <w:rFonts w:hint="eastAsia" w:ascii="宋体" w:hAnsi="宋体"/>
                <w:bCs/>
                <w:sz w:val="24"/>
                <w:szCs w:val="24"/>
              </w:rPr>
              <w:t>资格审查文件：</w:t>
            </w:r>
            <w:r>
              <w:rPr>
                <w:rFonts w:ascii="宋体" w:hAnsi="宋体"/>
                <w:bCs/>
                <w:sz w:val="24"/>
                <w:szCs w:val="24"/>
              </w:rPr>
              <w:t>1</w:t>
            </w:r>
            <w:r>
              <w:rPr>
                <w:rFonts w:hint="eastAsia" w:ascii="宋体" w:hAnsi="宋体"/>
                <w:bCs/>
                <w:sz w:val="24"/>
                <w:szCs w:val="24"/>
              </w:rPr>
              <w:t>份（不需密封）</w:t>
            </w:r>
          </w:p>
          <w:p>
            <w:pPr>
              <w:pStyle w:val="2"/>
              <w:ind w:firstLine="0" w:firstLineChars="0"/>
              <w:rPr>
                <w:lang w:val="en-US" w:eastAsia="zh-CN"/>
              </w:rPr>
            </w:pPr>
            <w:r>
              <w:rPr>
                <w:rFonts w:hint="eastAsia" w:ascii="宋体" w:hAnsi="宋体"/>
                <w:bCs/>
                <w:sz w:val="24"/>
                <w:szCs w:val="24"/>
                <w:lang w:val="en-US" w:eastAsia="zh-CN"/>
              </w:rPr>
              <w:t>投标文件份数：2份（需装订后密封）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投标截止时间及开标时间：2022年1月20日10：00</w:t>
            </w:r>
          </w:p>
          <w:p>
            <w:pPr>
              <w:spacing w:line="276" w:lineRule="auto"/>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评标地点：宜兴市环科园绿园路528号孵化园二楼开标室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rPr>
                <w:rFonts w:ascii="宋体" w:hAnsi="宋体"/>
                <w:bCs/>
                <w:sz w:val="24"/>
                <w:szCs w:val="21"/>
              </w:rPr>
            </w:pPr>
            <w:r>
              <w:rPr>
                <w:rFonts w:hint="eastAsia" w:ascii="宋体" w:hAnsi="宋体"/>
                <w:bCs/>
                <w:sz w:val="24"/>
                <w:szCs w:val="21"/>
              </w:rPr>
              <w:t>联系人：赵女士、刘先生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snapToGrid w:val="0"/>
              <w:rPr>
                <w:bCs/>
                <w:sz w:val="24"/>
                <w:szCs w:val="21"/>
                <w:lang w:val="zh-CN"/>
              </w:rPr>
            </w:pPr>
            <w:r>
              <w:rPr>
                <w:bCs/>
                <w:sz w:val="24"/>
                <w:szCs w:val="21"/>
                <w:lang w:val="zh-CN"/>
              </w:rPr>
              <w:t>投标保证金：</w:t>
            </w:r>
            <w:bookmarkStart w:id="5" w:name="OLE_LINK49"/>
            <w:bookmarkStart w:id="6" w:name="OLE_LINK138"/>
          </w:p>
          <w:p>
            <w:pPr>
              <w:snapToGrid w:val="0"/>
              <w:rPr>
                <w:bCs/>
                <w:sz w:val="24"/>
                <w:szCs w:val="21"/>
                <w:lang w:val="zh-CN"/>
              </w:rPr>
            </w:pPr>
            <w:r>
              <w:rPr>
                <w:bCs/>
                <w:sz w:val="24"/>
                <w:szCs w:val="21"/>
                <w:lang w:val="zh-CN"/>
              </w:rPr>
              <w:t>采购人根据项目的实际情况，要求投标人交纳投标保证金</w:t>
            </w:r>
            <w:r>
              <w:rPr>
                <w:bCs/>
                <w:sz w:val="24"/>
                <w:szCs w:val="21"/>
              </w:rPr>
              <w:t>贰</w:t>
            </w:r>
            <w:r>
              <w:rPr>
                <w:bCs/>
                <w:sz w:val="24"/>
                <w:szCs w:val="21"/>
                <w:lang w:val="zh-CN"/>
              </w:rPr>
              <w:t>仟元人民币。</w:t>
            </w:r>
            <w:bookmarkEnd w:id="5"/>
            <w:r>
              <w:rPr>
                <w:bCs/>
                <w:sz w:val="24"/>
                <w:szCs w:val="21"/>
                <w:lang w:val="zh-CN"/>
              </w:rPr>
              <w:t>交纳投标保证金的单位名称必须与参加投标的投标人名称一致</w:t>
            </w:r>
            <w:bookmarkEnd w:id="6"/>
            <w:r>
              <w:rPr>
                <w:bCs/>
                <w:sz w:val="24"/>
                <w:szCs w:val="21"/>
                <w:lang w:val="zh-CN"/>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48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79" w:hRule="atLeast"/>
                <w:jc w:val="center"/>
              </w:trPr>
              <w:tc>
                <w:tcPr>
                  <w:tcW w:w="1564" w:type="dxa"/>
                  <w:noWrap w:val="0"/>
                  <w:vAlign w:val="center"/>
                </w:tcPr>
                <w:p>
                  <w:pPr>
                    <w:snapToGrid w:val="0"/>
                    <w:jc w:val="center"/>
                    <w:rPr>
                      <w:bCs/>
                      <w:sz w:val="24"/>
                      <w:szCs w:val="21"/>
                      <w:lang w:val="zh-CN"/>
                    </w:rPr>
                  </w:pPr>
                  <w:r>
                    <w:rPr>
                      <w:bCs/>
                      <w:sz w:val="24"/>
                      <w:szCs w:val="21"/>
                      <w:lang w:val="zh-CN"/>
                    </w:rPr>
                    <w:t>交纳投标保证金账户名称</w:t>
                  </w:r>
                </w:p>
              </w:tc>
              <w:tc>
                <w:tcPr>
                  <w:tcW w:w="3489" w:type="dxa"/>
                  <w:noWrap w:val="0"/>
                  <w:vAlign w:val="center"/>
                </w:tcPr>
                <w:p>
                  <w:pPr>
                    <w:snapToGrid w:val="0"/>
                    <w:jc w:val="center"/>
                    <w:rPr>
                      <w:bCs/>
                      <w:sz w:val="24"/>
                      <w:szCs w:val="21"/>
                      <w:lang w:val="zh-CN"/>
                    </w:rPr>
                  </w:pPr>
                  <w:r>
                    <w:rPr>
                      <w:bCs/>
                      <w:sz w:val="24"/>
                      <w:szCs w:val="21"/>
                      <w:lang w:val="zh-CN"/>
                    </w:rPr>
                    <w:t>宜兴市公用产业集团有限公司</w:t>
                  </w:r>
                </w:p>
              </w:tc>
              <w:tc>
                <w:tcPr>
                  <w:tcW w:w="1084" w:type="dxa"/>
                  <w:vMerge w:val="restart"/>
                  <w:noWrap w:val="0"/>
                  <w:vAlign w:val="center"/>
                </w:tcPr>
                <w:p>
                  <w:pPr>
                    <w:snapToGrid w:val="0"/>
                    <w:rPr>
                      <w:bCs/>
                      <w:sz w:val="24"/>
                      <w:szCs w:val="21"/>
                      <w:lang w:val="zh-CN"/>
                    </w:rPr>
                  </w:pPr>
                  <w:r>
                    <w:rPr>
                      <w:bCs/>
                      <w:sz w:val="24"/>
                      <w:szCs w:val="21"/>
                      <w:lang w:val="zh-CN"/>
                    </w:rPr>
                    <w:t>交纳</w:t>
                  </w:r>
                </w:p>
                <w:p>
                  <w:pPr>
                    <w:snapToGrid w:val="0"/>
                    <w:rPr>
                      <w:bCs/>
                      <w:sz w:val="24"/>
                      <w:szCs w:val="21"/>
                      <w:lang w:val="zh-CN"/>
                    </w:rPr>
                  </w:pPr>
                  <w:r>
                    <w:rPr>
                      <w:bCs/>
                      <w:sz w:val="24"/>
                      <w:szCs w:val="21"/>
                      <w:lang w:val="zh-CN"/>
                    </w:rPr>
                    <w:t>形式</w:t>
                  </w:r>
                </w:p>
              </w:tc>
              <w:tc>
                <w:tcPr>
                  <w:tcW w:w="2663" w:type="dxa"/>
                  <w:vMerge w:val="restart"/>
                  <w:noWrap w:val="0"/>
                  <w:vAlign w:val="center"/>
                </w:tcPr>
                <w:p>
                  <w:pPr>
                    <w:snapToGrid w:val="0"/>
                    <w:jc w:val="center"/>
                    <w:rPr>
                      <w:bCs/>
                      <w:sz w:val="24"/>
                      <w:szCs w:val="21"/>
                      <w:lang w:val="zh-CN"/>
                    </w:rPr>
                  </w:pPr>
                  <w:r>
                    <w:rPr>
                      <w:bCs/>
                      <w:sz w:val="24"/>
                      <w:szCs w:val="21"/>
                      <w:lang w:val="zh-CN"/>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bCs/>
                      <w:sz w:val="24"/>
                      <w:szCs w:val="21"/>
                      <w:lang w:val="zh-CN"/>
                    </w:rPr>
                  </w:pPr>
                  <w:r>
                    <w:rPr>
                      <w:bCs/>
                      <w:sz w:val="24"/>
                      <w:szCs w:val="21"/>
                      <w:lang w:val="zh-CN"/>
                    </w:rPr>
                    <w:t>开户银行</w:t>
                  </w:r>
                </w:p>
              </w:tc>
              <w:tc>
                <w:tcPr>
                  <w:tcW w:w="3489" w:type="dxa"/>
                  <w:noWrap w:val="0"/>
                  <w:vAlign w:val="center"/>
                </w:tcPr>
                <w:p>
                  <w:pPr>
                    <w:snapToGrid w:val="0"/>
                    <w:jc w:val="center"/>
                    <w:rPr>
                      <w:bCs/>
                      <w:sz w:val="24"/>
                      <w:szCs w:val="21"/>
                      <w:lang w:val="zh-CN"/>
                    </w:rPr>
                  </w:pPr>
                  <w:r>
                    <w:rPr>
                      <w:bCs/>
                      <w:sz w:val="24"/>
                      <w:szCs w:val="21"/>
                      <w:lang w:val="zh-CN"/>
                    </w:rPr>
                    <w:t>光大银行宜兴支行</w:t>
                  </w:r>
                </w:p>
              </w:tc>
              <w:tc>
                <w:tcPr>
                  <w:tcW w:w="1084" w:type="dxa"/>
                  <w:vMerge w:val="continue"/>
                  <w:noWrap w:val="0"/>
                  <w:vAlign w:val="center"/>
                </w:tcPr>
                <w:p>
                  <w:pPr>
                    <w:snapToGrid w:val="0"/>
                    <w:rPr>
                      <w:bCs/>
                      <w:sz w:val="24"/>
                      <w:szCs w:val="21"/>
                      <w:lang w:val="zh-CN"/>
                    </w:rPr>
                  </w:pPr>
                </w:p>
              </w:tc>
              <w:tc>
                <w:tcPr>
                  <w:tcW w:w="2663" w:type="dxa"/>
                  <w:vMerge w:val="continue"/>
                  <w:noWrap w:val="0"/>
                  <w:vAlign w:val="center"/>
                </w:tcPr>
                <w:p>
                  <w:pPr>
                    <w:snapToGrid w:val="0"/>
                    <w:rPr>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bCs/>
                      <w:sz w:val="24"/>
                      <w:szCs w:val="21"/>
                      <w:lang w:val="zh-CN"/>
                    </w:rPr>
                  </w:pPr>
                  <w:r>
                    <w:rPr>
                      <w:bCs/>
                      <w:sz w:val="24"/>
                      <w:szCs w:val="21"/>
                      <w:lang w:val="zh-CN"/>
                    </w:rPr>
                    <w:t>账号</w:t>
                  </w:r>
                </w:p>
              </w:tc>
              <w:tc>
                <w:tcPr>
                  <w:tcW w:w="3489" w:type="dxa"/>
                  <w:noWrap w:val="0"/>
                  <w:vAlign w:val="center"/>
                </w:tcPr>
                <w:p>
                  <w:pPr>
                    <w:snapToGrid w:val="0"/>
                    <w:jc w:val="center"/>
                    <w:rPr>
                      <w:bCs/>
                      <w:sz w:val="24"/>
                      <w:szCs w:val="21"/>
                      <w:lang w:val="zh-CN"/>
                    </w:rPr>
                  </w:pPr>
                  <w:r>
                    <w:rPr>
                      <w:bCs/>
                      <w:sz w:val="24"/>
                      <w:szCs w:val="21"/>
                      <w:lang w:val="zh-CN"/>
                    </w:rPr>
                    <w:t>10010188000018606</w:t>
                  </w:r>
                </w:p>
              </w:tc>
              <w:tc>
                <w:tcPr>
                  <w:tcW w:w="1084" w:type="dxa"/>
                  <w:vMerge w:val="continue"/>
                  <w:noWrap w:val="0"/>
                  <w:vAlign w:val="center"/>
                </w:tcPr>
                <w:p>
                  <w:pPr>
                    <w:snapToGrid w:val="0"/>
                    <w:rPr>
                      <w:bCs/>
                      <w:sz w:val="24"/>
                      <w:szCs w:val="21"/>
                      <w:lang w:val="zh-CN"/>
                    </w:rPr>
                  </w:pPr>
                </w:p>
              </w:tc>
              <w:tc>
                <w:tcPr>
                  <w:tcW w:w="2663" w:type="dxa"/>
                  <w:vMerge w:val="continue"/>
                  <w:noWrap w:val="0"/>
                  <w:vAlign w:val="center"/>
                </w:tcPr>
                <w:p>
                  <w:pPr>
                    <w:snapToGrid w:val="0"/>
                    <w:rPr>
                      <w:bCs/>
                      <w:sz w:val="24"/>
                      <w:szCs w:val="21"/>
                      <w:lang w:val="zh-CN"/>
                    </w:rPr>
                  </w:pPr>
                </w:p>
              </w:tc>
            </w:tr>
          </w:tbl>
          <w:p>
            <w:pPr>
              <w:jc w:val="left"/>
              <w:rPr>
                <w:rFonts w:ascii="宋体" w:hAnsi="宋体"/>
                <w:bCs/>
                <w:sz w:val="24"/>
                <w:szCs w:val="24"/>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bookmarkStart w:id="20" w:name="OLE_LINK8"/>
      <w:bookmarkStart w:id="21" w:name="OLE_LINK115"/>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hint="eastAsia" w:ascii="宋体" w:hAnsi="宋体"/>
          <w:bCs/>
          <w:sz w:val="24"/>
          <w:szCs w:val="24"/>
          <w:lang w:val="zh-CN"/>
        </w:rPr>
        <w:t>；</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rPr>
        <w:t>供应商法定代表人授权委托书及被授权代表的身份证复印件（法定代表人亲自参加的除外）；(</w:t>
      </w:r>
      <w:r>
        <w:rPr>
          <w:rFonts w:hint="eastAsia" w:ascii="宋体" w:hAnsi="宋体"/>
          <w:b/>
          <w:bCs/>
          <w:sz w:val="24"/>
          <w:szCs w:val="24"/>
        </w:rPr>
        <w:t>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bookmarkEnd w:id="20"/>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供应商为法人或其他组织的提供</w:t>
      </w:r>
      <w:r>
        <w:rPr>
          <w:rFonts w:hint="eastAsia" w:ascii="宋体" w:hAnsi="宋体"/>
          <w:sz w:val="24"/>
          <w:szCs w:val="21"/>
          <w:lang w:val="zh-CN"/>
        </w:rPr>
        <w:t>营业执照或法人（登记）证书复印件，供应商为自然人的提供自然人身份证复印件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供应商依法缴纳</w:t>
      </w:r>
      <w:bookmarkStart w:id="22" w:name="OLE_LINK181"/>
      <w:r>
        <w:rPr>
          <w:rFonts w:hint="eastAsia" w:ascii="宋体" w:hAnsi="宋体"/>
          <w:sz w:val="24"/>
          <w:szCs w:val="24"/>
        </w:rPr>
        <w:t>近十二个月</w:t>
      </w:r>
      <w:bookmarkEnd w:id="22"/>
      <w:r>
        <w:rPr>
          <w:rFonts w:hint="eastAsia" w:ascii="宋体" w:hAnsi="宋体"/>
          <w:sz w:val="24"/>
          <w:szCs w:val="24"/>
        </w:rPr>
        <w:t>中任意一个月份税收的相关材料（提供相关主管部门证明或银行代扣证明）复印件；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供应商是否具有做钢管内外防腐的能力，以其营业执照经营范围为准，如供应商无做钢管内外防腐的能力，可以自行选择专业防腐企业，在响应文件中明确防腐企业名称，并提供加盖双方企业公章的协议书</w:t>
      </w:r>
      <w:r>
        <w:rPr>
          <w:rFonts w:hint="eastAsia" w:ascii="宋体" w:hAnsi="宋体"/>
          <w:sz w:val="24"/>
          <w:szCs w:val="21"/>
        </w:rPr>
        <w:t>复印件</w:t>
      </w:r>
      <w:r>
        <w:rPr>
          <w:rFonts w:hint="eastAsia" w:ascii="宋体" w:hAnsi="宋体"/>
          <w:sz w:val="24"/>
          <w:szCs w:val="24"/>
          <w:lang w:val="zh-CN"/>
        </w:rPr>
        <w:t>；</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必须提交相应原件或清晰扫描件）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供应商产品或原料具有饮用水卫生安全产品卫生许可证复印件</w:t>
      </w:r>
      <w:r>
        <w:rPr>
          <w:rFonts w:hint="eastAsia" w:ascii="宋体" w:hAnsi="宋体"/>
          <w:b/>
          <w:color w:val="000000"/>
          <w:sz w:val="24"/>
          <w:szCs w:val="24"/>
        </w:rPr>
        <w:t>（提交响应文件时间截止前必须提交相应原件或清晰扫描件）</w:t>
      </w:r>
    </w:p>
    <w:p>
      <w:pPr>
        <w:tabs>
          <w:tab w:val="left" w:pos="0"/>
          <w:tab w:val="left" w:pos="255"/>
        </w:tabs>
        <w:spacing w:line="360" w:lineRule="auto"/>
        <w:ind w:left="284"/>
        <w:rPr>
          <w:rFonts w:ascii="宋体" w:hAnsi="宋体"/>
          <w:sz w:val="24"/>
        </w:rPr>
      </w:pPr>
      <w:r>
        <w:rPr>
          <w:rFonts w:hint="eastAsia" w:ascii="宋体" w:hAnsi="宋体"/>
          <w:sz w:val="24"/>
          <w:szCs w:val="24"/>
        </w:rPr>
        <w:t>（4）招标文件 “项目技</w:t>
      </w:r>
      <w:r>
        <w:rPr>
          <w:rFonts w:hint="eastAsia" w:ascii="宋体" w:hAnsi="宋体"/>
          <w:sz w:val="24"/>
        </w:rPr>
        <w:t>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spacing w:line="360" w:lineRule="auto"/>
        <w:jc w:val="center"/>
        <w:outlineLvl w:val="0"/>
        <w:rPr>
          <w:rFonts w:hint="eastAsia" w:ascii="黑体" w:hAnsi="黑体" w:eastAsia="黑体"/>
          <w:sz w:val="28"/>
        </w:rPr>
      </w:pPr>
      <w:r>
        <w:rPr>
          <w:rFonts w:hint="eastAsia" w:ascii="黑体" w:hAnsi="黑体" w:eastAsia="黑体"/>
          <w:sz w:val="28"/>
        </w:rPr>
        <w:t>第三章 项目技术要求和有关说明</w:t>
      </w:r>
    </w:p>
    <w:p>
      <w:pPr>
        <w:spacing w:line="360" w:lineRule="auto"/>
        <w:ind w:firstLine="480" w:firstLineChars="200"/>
        <w:rPr>
          <w:rFonts w:hint="eastAsia" w:ascii="宋体" w:hAnsi="宋体"/>
          <w:sz w:val="24"/>
          <w:szCs w:val="24"/>
        </w:rPr>
      </w:pPr>
      <w:r>
        <w:rPr>
          <w:rFonts w:hint="eastAsia" w:ascii="宋体" w:hAnsi="宋体"/>
          <w:sz w:val="24"/>
          <w:szCs w:val="24"/>
        </w:rPr>
        <w:t>一、项目概述：</w:t>
      </w:r>
    </w:p>
    <w:p>
      <w:pPr>
        <w:spacing w:line="360" w:lineRule="auto"/>
        <w:ind w:firstLine="480" w:firstLineChars="200"/>
        <w:rPr>
          <w:rFonts w:hint="eastAsia" w:ascii="宋体" w:hAnsi="宋体"/>
          <w:sz w:val="24"/>
          <w:szCs w:val="24"/>
        </w:rPr>
      </w:pPr>
      <w:r>
        <w:rPr>
          <w:rFonts w:hint="eastAsia" w:ascii="宋体" w:hAnsi="宋体"/>
          <w:sz w:val="24"/>
          <w:szCs w:val="24"/>
        </w:rPr>
        <w:t>本项目为宜兴水务集团有限公司无缝钢管、螺旋缝埋弧焊钢管采购。</w:t>
      </w:r>
    </w:p>
    <w:p>
      <w:pPr>
        <w:spacing w:line="360" w:lineRule="auto"/>
        <w:ind w:firstLine="480" w:firstLineChars="200"/>
        <w:rPr>
          <w:rFonts w:hint="eastAsia" w:ascii="宋体" w:hAnsi="宋体"/>
          <w:sz w:val="24"/>
          <w:szCs w:val="24"/>
        </w:rPr>
      </w:pPr>
      <w:r>
        <w:rPr>
          <w:rFonts w:hint="eastAsia" w:ascii="宋体" w:hAnsi="宋体"/>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本次采购项目的要求及数量详见下表，限价49.5万。</w:t>
      </w:r>
    </w:p>
    <w:tbl>
      <w:tblPr>
        <w:tblStyle w:val="75"/>
        <w:tblW w:w="48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159"/>
        <w:gridCol w:w="3116"/>
        <w:gridCol w:w="2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99" w:hRule="atLeast"/>
          <w:jc w:val="center"/>
        </w:trPr>
        <w:tc>
          <w:tcPr>
            <w:tcW w:w="45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1203"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名称</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规格</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widowControl/>
              <w:ind w:firstLine="480"/>
              <w:jc w:val="center"/>
              <w:rPr>
                <w:rFonts w:ascii="仿宋_GB2312" w:hAnsi="仿宋" w:eastAsia="仿宋_GB2312" w:cs="仿宋"/>
                <w:kern w:val="0"/>
                <w:sz w:val="24"/>
              </w:rPr>
            </w:pPr>
            <w:r>
              <w:rPr>
                <w:rFonts w:hint="eastAsia" w:ascii="仿宋_GB2312" w:hAnsi="仿宋" w:eastAsia="仿宋_GB2312" w:cs="仿宋"/>
                <w:kern w:val="0"/>
                <w:sz w:val="24"/>
              </w:rPr>
              <w:t>数量（米）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2" w:hRule="atLeast"/>
          <w:jc w:val="center"/>
        </w:trPr>
        <w:tc>
          <w:tcPr>
            <w:tcW w:w="455"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1</w:t>
            </w:r>
          </w:p>
        </w:tc>
        <w:tc>
          <w:tcPr>
            <w:tcW w:w="1203" w:type="pct"/>
            <w:vMerge w:val="restart"/>
            <w:tcBorders>
              <w:left w:val="single" w:color="auto" w:sz="4" w:space="0"/>
              <w:right w:val="single" w:color="auto" w:sz="4" w:space="0"/>
            </w:tcBorders>
            <w:noWrap w:val="0"/>
            <w:vAlign w:val="center"/>
          </w:tcPr>
          <w:p>
            <w:pPr>
              <w:ind w:firstLine="480"/>
              <w:rPr>
                <w:rFonts w:ascii="仿宋_GB2312" w:hAnsi="仿宋" w:eastAsia="仿宋_GB2312" w:cs="仿宋"/>
                <w:kern w:val="0"/>
                <w:sz w:val="24"/>
              </w:rPr>
            </w:pPr>
            <w:r>
              <w:rPr>
                <w:rFonts w:hint="eastAsia" w:ascii="仿宋_GB2312" w:hAnsi="仿宋" w:eastAsia="仿宋_GB2312" w:cs="仿宋"/>
                <w:kern w:val="0"/>
                <w:sz w:val="24"/>
              </w:rPr>
              <w:t>无缝钢管</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108</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41" w:hRule="atLeast"/>
          <w:jc w:val="center"/>
        </w:trPr>
        <w:tc>
          <w:tcPr>
            <w:tcW w:w="455"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2</w:t>
            </w:r>
          </w:p>
        </w:tc>
        <w:tc>
          <w:tcPr>
            <w:tcW w:w="1203" w:type="pct"/>
            <w:vMerge w:val="continue"/>
            <w:tcBorders>
              <w:left w:val="single" w:color="auto" w:sz="4" w:space="0"/>
              <w:bottom w:val="single" w:color="auto" w:sz="4" w:space="0"/>
              <w:right w:val="single" w:color="auto" w:sz="4" w:space="0"/>
            </w:tcBorders>
            <w:noWrap w:val="0"/>
            <w:vAlign w:val="center"/>
          </w:tcPr>
          <w:p>
            <w:pPr>
              <w:ind w:firstLine="480"/>
              <w:rPr>
                <w:rFonts w:ascii="仿宋_GB2312" w:hAnsi="仿宋" w:eastAsia="仿宋_GB2312" w:cs="仿宋"/>
                <w:kern w:val="0"/>
                <w:sz w:val="24"/>
              </w:rPr>
            </w:pP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159</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5" w:hRule="atLeast"/>
          <w:jc w:val="center"/>
        </w:trPr>
        <w:tc>
          <w:tcPr>
            <w:tcW w:w="455"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3</w:t>
            </w:r>
          </w:p>
        </w:tc>
        <w:tc>
          <w:tcPr>
            <w:tcW w:w="1203" w:type="pct"/>
            <w:vMerge w:val="restart"/>
            <w:tcBorders>
              <w:top w:val="single" w:color="auto" w:sz="4" w:space="0"/>
              <w:left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螺旋钢管</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仿宋"/>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219×8</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7" w:hRule="atLeast"/>
          <w:jc w:val="center"/>
        </w:trPr>
        <w:tc>
          <w:tcPr>
            <w:tcW w:w="455"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4</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325×10</w:t>
            </w:r>
          </w:p>
        </w:tc>
        <w:tc>
          <w:tcPr>
            <w:tcW w:w="160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97" w:hRule="atLeast"/>
          <w:jc w:val="center"/>
        </w:trPr>
        <w:tc>
          <w:tcPr>
            <w:tcW w:w="455"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5</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426*10</w:t>
            </w:r>
          </w:p>
        </w:tc>
        <w:tc>
          <w:tcPr>
            <w:tcW w:w="1606"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455"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6</w:t>
            </w:r>
          </w:p>
        </w:tc>
        <w:tc>
          <w:tcPr>
            <w:tcW w:w="1203"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7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820×12</w:t>
            </w:r>
          </w:p>
        </w:tc>
        <w:tc>
          <w:tcPr>
            <w:tcW w:w="1606"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r>
    </w:tbl>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注：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单价为准。</w:t>
      </w: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（二）、技术要求：</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2.1本次采购的螺旋缝埋弧焊钢管应符合《石油天然气工业输送钢管》（GB/T9711-2017）或《普通流体输送管道用埋弧焊钢管》（SY/T5037-2018）的标准相关规定，无缝钢管应符合《输送流体用无缝钢管》（GB/T8163-2018）国家标准的相关规定。</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2.2用于制造钢管的钢材应符合GB/T700-2006之Q235B标准，原材料（钢材）使用知名品牌：马钢、鞍钢、宝钢、沙钢，且每批钢材均应有质量合格证</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2.3边界条件</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输送介质：供水、污水</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输送温度：1℃～40℃</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工作压力：1.0Mpa</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水质容重：ρ=1000kg/m3</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敷设方式：埋地、顶管、过河、过路、明管等。</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2.4钢管防腐</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（1）制造钢管的原材料（包括防腐）要求，其供应商应有通过ISO9000系列质量体系认证。（签订合同时提供）</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（2）钢管防腐涂装前应除锈，除锈应达到SA2.5级标准，手工除锈达ST3级标准。</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（3）管道——内防腐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给水管：钢管内防腐采用IPN8710互穿网络防腐涂料，先涂底漆IPN8710-1G二道，再涂面漆IPN8710-3G三道，色标乳白，涂层干膜厚度≥250μm。涂料应符合《生活饮用水输配水设备及防护材料卫生安全标准》GB/T17219-1998的要求。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污水管：钢管内防腐采用IPN8710互穿网络防腐涂料，先涂底漆IPN8710-1G二道，再涂面漆IPN8710-3G三道，色标黑色或者灰色，涂层干膜厚度≥300μm。 </w:t>
      </w:r>
    </w:p>
    <w:p>
      <w:pPr>
        <w:spacing w:line="360" w:lineRule="auto"/>
        <w:ind w:firstLine="480" w:firstLineChars="200"/>
        <w:jc w:val="left"/>
        <w:rPr>
          <w:rFonts w:ascii="宋体" w:hAnsi="宋体"/>
          <w:bCs/>
          <w:color w:val="000000"/>
          <w:sz w:val="24"/>
        </w:rPr>
      </w:pPr>
      <w:r>
        <w:rPr>
          <w:rFonts w:hint="eastAsia" w:ascii="宋体" w:hAnsi="宋体"/>
          <w:bCs/>
          <w:color w:val="000000"/>
          <w:sz w:val="24"/>
        </w:rPr>
        <w:t xml:space="preserve">钢管防腐质量满足《给水排水管道工程施工及验收规范》GB50268-2017标准。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（4）管道——外防腐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1、外露管道：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外壁选用IPN8710互穿网络二布五油重防腐涂料，采用IPN8710-1G底漆一层，玻璃布一层，再涂IPN8710-1G底漆一层，玻璃布一层，最后IPN8710-4耐候保色防腐面漆三层，色标海蓝，涂层厚度≥350μm。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2、埋地管道：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外壁选用IPN8710互穿网络二布五油重防腐涂料，采用IPN8710-1G底漆一层，玻璃布一层，再涂IPN8710-1G底漆一层，玻璃布一层，最后IPN8710-3H面漆三层，色标海蓝，涂层厚度≥350μm。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3、顶管管道：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顶管采用环氧富锌底漆二道、干膜厚度不小于70μm，环氧玻璃鳞片重防腐涂料三道，干膜厚度不小于520μm3，外露管道的二次防腐要求。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4、钢管明露敷设时，敷设完毕后需进行二次防腐，具体做法要求如下：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a.所有管道要求面漆两遍，建议使用光辉牌油漆，型号采用“聚氨丙烯酸超耐候面漆”，与同类匹配固化剂的配比为4:1，油漆的调配要严格按照产品说明书操作，雨天严禁上漆。</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b.供水管道油漆颜色统一采用海蓝色（漆膜色卡标准GSB05-1426-2001 6PB05），污水管道油漆颜色统一采用深（铁）蓝色（漆膜色卡标准GSB05-1426-2001 1PB01）。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c.管径大于DN200口径的钢管必须喷涂“宜兴供水 热线12345”字样，字体为魏碑字。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（4）内壁用IPN8710互穿网络防腐涂料应符合GB/T17219《生活饮用水输配水设备及防护材料的安全性评价标准》，并有卫生许可批件和检测报告。</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2.5钢管详细技术要求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  （1）尺寸要求：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钢管直径：108mm～820mm，内径极限偏差为正负千分之五D。</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椭圆度公差：公称直径的±5‰</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弯曲度：不得超过钢管长度的1‰</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 xml:space="preserve">管端：坡口角度30°+5°；钝边1.6 ±0.8mm ； </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平面度1.0mm（切斜）；管端倒角后打磨。</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长度公差：12000mm±10.0mm  顶管施工用钢管长度根据施工条件确定，壁厚偏差不得超过标准规定公差要求的5%。</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（2）焊缝要求：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壁厚≤12.7外焊缝余高﹤3.18mm，壁厚＞12.7外焊缝余高﹤4.76mm；内焊缝余高﹤3mm；管端100mm长度范围内内焊缝打磨，管端50mm长度范围外焊缝打磨，打磨均不得伤及母材，打磨后高度不得高于0.5mm一根钢管中有缺陷的焊缝不能多于3处，间隔不能小于3m；同一处焊缝修补次数不能超过2次。</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（3）钢管应逐根做水压试验：试验压力符合相关标准规定，试验压力保持时间≥10S</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（4）X射线检验：钢管螺旋焊缝需作100%X射线在线检验（按GB3223标准），Ⅱ级以上为合格。</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（5）钢管不准有对接焊拼装管。</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（6）螺旋钢管焊缝要求100%超声波检查。</w:t>
      </w:r>
    </w:p>
    <w:p>
      <w:pPr>
        <w:spacing w:line="360" w:lineRule="auto"/>
        <w:ind w:firstLine="480" w:firstLineChars="200"/>
        <w:rPr>
          <w:rFonts w:hint="eastAsia" w:ascii="宋体" w:hAnsi="宋体"/>
          <w:sz w:val="24"/>
          <w:szCs w:val="24"/>
        </w:rPr>
      </w:pPr>
      <w:r>
        <w:rPr>
          <w:rFonts w:hint="eastAsia" w:ascii="宋体" w:hAnsi="宋体"/>
          <w:sz w:val="24"/>
          <w:szCs w:val="24"/>
        </w:rPr>
        <w:t>三、商务要求</w:t>
      </w:r>
    </w:p>
    <w:p>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1、质量检测、生产设备要求：</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（1）本次采购货物免费质保期为一年，供应商必须有能对所生产产品进行合格质量检测的全套质量检测设备，并且具有按照国家标准要求的试验方式方法、检验项目进行出厂质量检测。</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（2）供应商必须有能生产报价产品的相应设备，报价时必须提供详细的生产设备及辅助设备数量性能介绍、检测设备及措施介绍，并附以图片或书面说明。</w:t>
      </w:r>
    </w:p>
    <w:p>
      <w:pPr>
        <w:spacing w:line="360" w:lineRule="auto"/>
        <w:ind w:firstLine="480" w:firstLineChars="200"/>
        <w:jc w:val="left"/>
        <w:rPr>
          <w:rFonts w:hint="eastAsia" w:ascii="宋体" w:hAnsi="宋体"/>
          <w:bCs/>
          <w:color w:val="000000"/>
          <w:sz w:val="24"/>
        </w:rPr>
      </w:pPr>
      <w:r>
        <w:rPr>
          <w:rFonts w:hint="eastAsia" w:ascii="宋体" w:hAnsi="宋体"/>
          <w:bCs/>
          <w:color w:val="000000"/>
          <w:sz w:val="24"/>
        </w:rPr>
        <w:t>（3）如供应商无生产ø108、ø159无缝钢管的能力，可对外发包生产或采购供应，但应在响应文件中说明生产供应商名称、生产规模等情况。</w:t>
      </w:r>
    </w:p>
    <w:p>
      <w:pPr>
        <w:spacing w:line="360" w:lineRule="auto"/>
        <w:ind w:firstLine="480" w:firstLineChars="200"/>
        <w:rPr>
          <w:rFonts w:hint="eastAsia" w:ascii="宋体" w:hAnsi="宋体"/>
          <w:bCs/>
          <w:sz w:val="24"/>
        </w:rPr>
      </w:pPr>
      <w:r>
        <w:rPr>
          <w:rFonts w:hint="eastAsia" w:ascii="宋体" w:hAnsi="宋体"/>
          <w:bCs/>
          <w:sz w:val="24"/>
        </w:rPr>
        <w:t>2、</w:t>
      </w:r>
      <w:r>
        <w:rPr>
          <w:rFonts w:hint="eastAsia" w:ascii="宋体" w:hAnsi="宋体"/>
          <w:b/>
          <w:sz w:val="24"/>
        </w:rPr>
        <w:t>交货地点</w:t>
      </w:r>
      <w:r>
        <w:rPr>
          <w:rFonts w:hint="eastAsia" w:ascii="宋体" w:hAnsi="宋体"/>
          <w:bCs/>
          <w:sz w:val="24"/>
        </w:rPr>
        <w:t>：宜兴水务集团有限公司指定地点。</w:t>
      </w:r>
    </w:p>
    <w:p>
      <w:pPr>
        <w:spacing w:line="360" w:lineRule="auto"/>
        <w:ind w:firstLine="480" w:firstLineChars="200"/>
        <w:rPr>
          <w:rFonts w:hint="eastAsia" w:ascii="宋体" w:hAnsi="宋体"/>
          <w:bCs/>
          <w:color w:val="000000"/>
          <w:sz w:val="24"/>
        </w:rPr>
      </w:pPr>
      <w:r>
        <w:rPr>
          <w:rFonts w:hint="eastAsia" w:ascii="宋体" w:hAnsi="宋体"/>
          <w:bCs/>
          <w:sz w:val="24"/>
        </w:rPr>
        <w:t>3、</w:t>
      </w:r>
      <w:r>
        <w:rPr>
          <w:rFonts w:hint="eastAsia" w:ascii="宋体" w:hAnsi="宋体"/>
          <w:b/>
          <w:sz w:val="24"/>
        </w:rPr>
        <w:t>服务期限</w:t>
      </w:r>
      <w:r>
        <w:rPr>
          <w:rFonts w:hint="eastAsia" w:ascii="宋体" w:hAnsi="宋体"/>
          <w:bCs/>
          <w:sz w:val="24"/>
        </w:rPr>
        <w:t>：</w:t>
      </w:r>
      <w:r>
        <w:rPr>
          <w:rFonts w:hint="eastAsia" w:ascii="宋体" w:hAnsi="宋体"/>
          <w:bCs/>
          <w:color w:val="000000"/>
          <w:sz w:val="24"/>
        </w:rPr>
        <w:t>本次采购供货合同期为6个月，即从签订合同之日起6个月内。</w:t>
      </w:r>
    </w:p>
    <w:p>
      <w:pPr>
        <w:pStyle w:val="521"/>
        <w:adjustRightInd w:val="0"/>
        <w:snapToGrid w:val="0"/>
        <w:spacing w:line="400" w:lineRule="exact"/>
        <w:ind w:firstLine="490"/>
        <w:rPr>
          <w:rFonts w:hint="eastAsia" w:ascii="宋体" w:hAnsi="宋体" w:eastAsia="宋体" w:cs="宋体"/>
          <w:b w:val="0"/>
          <w:sz w:val="24"/>
        </w:rPr>
      </w:pPr>
      <w:r>
        <w:rPr>
          <w:rFonts w:hint="eastAsia" w:ascii="宋体" w:hAnsi="宋体" w:eastAsia="宋体"/>
          <w:kern w:val="2"/>
          <w:sz w:val="24"/>
          <w:szCs w:val="20"/>
        </w:rPr>
        <w:t>4、供 货 期：</w:t>
      </w:r>
      <w:r>
        <w:rPr>
          <w:rFonts w:hint="eastAsia" w:ascii="宋体" w:hAnsi="宋体" w:eastAsia="宋体" w:cs="宋体"/>
          <w:b w:val="0"/>
          <w:sz w:val="24"/>
        </w:rPr>
        <w:t>分批供货，成交供应商接到采购人的发货通知后10天内发货。在供货期限内，成交供应商必须按照采购方的工程进度要求和实际需要数量保证供货的连续性（每次供货数量不定，报价时应考虑到额外不满整车供货所增加的运输费用），如延误交货或中断供货将承担违约责任。</w:t>
      </w:r>
    </w:p>
    <w:p>
      <w:pPr>
        <w:spacing w:line="360" w:lineRule="auto"/>
        <w:ind w:firstLine="480" w:firstLineChars="200"/>
        <w:jc w:val="left"/>
        <w:rPr>
          <w:rFonts w:hint="eastAsia" w:ascii="宋体" w:hAnsi="宋体" w:cs="宋体"/>
          <w:kern w:val="0"/>
          <w:sz w:val="24"/>
          <w:szCs w:val="24"/>
        </w:rPr>
      </w:pPr>
      <w:r>
        <w:rPr>
          <w:rFonts w:hint="eastAsia" w:ascii="宋体" w:hAnsi="宋体"/>
          <w:bCs/>
          <w:sz w:val="24"/>
        </w:rPr>
        <w:t>5、</w:t>
      </w:r>
      <w:r>
        <w:rPr>
          <w:rFonts w:hint="eastAsia" w:ascii="宋体" w:hAnsi="宋体"/>
          <w:b/>
          <w:sz w:val="24"/>
        </w:rPr>
        <w:t>验收标准</w:t>
      </w:r>
      <w:r>
        <w:rPr>
          <w:rFonts w:hint="eastAsia" w:ascii="宋体" w:hAnsi="宋体"/>
          <w:bCs/>
          <w:sz w:val="24"/>
        </w:rPr>
        <w:t>：</w:t>
      </w:r>
      <w:r>
        <w:rPr>
          <w:rFonts w:hint="eastAsia" w:ascii="宋体" w:hAnsi="宋体" w:cs="宋体"/>
          <w:kern w:val="0"/>
          <w:sz w:val="24"/>
          <w:szCs w:val="24"/>
        </w:rPr>
        <w:t>合格，符合国家现行有关标准、相关行业规范及采购人要求，由采购人负责验收，宜兴市市场监督管理局将履行监督职能</w:t>
      </w:r>
    </w:p>
    <w:p>
      <w:pPr>
        <w:spacing w:line="360" w:lineRule="auto"/>
        <w:ind w:firstLine="480" w:firstLineChars="200"/>
        <w:jc w:val="left"/>
        <w:rPr>
          <w:rFonts w:hint="eastAsia" w:ascii="宋体" w:hAnsi="宋体"/>
          <w:bCs/>
          <w:sz w:val="24"/>
        </w:rPr>
      </w:pPr>
      <w:r>
        <w:rPr>
          <w:rFonts w:hint="eastAsia" w:ascii="宋体" w:hAnsi="宋体"/>
          <w:bCs/>
          <w:sz w:val="24"/>
        </w:rPr>
        <w:t>6、</w:t>
      </w:r>
      <w:r>
        <w:rPr>
          <w:rFonts w:hint="eastAsia" w:ascii="宋体" w:hAnsi="宋体"/>
          <w:b/>
          <w:sz w:val="24"/>
        </w:rPr>
        <w:t>付款步骤</w:t>
      </w:r>
      <w:r>
        <w:rPr>
          <w:rFonts w:hint="eastAsia" w:ascii="宋体" w:hAnsi="宋体"/>
          <w:bCs/>
          <w:sz w:val="24"/>
        </w:rPr>
        <w:t>：</w:t>
      </w:r>
    </w:p>
    <w:p>
      <w:pPr>
        <w:spacing w:line="360" w:lineRule="auto"/>
        <w:ind w:firstLine="480" w:firstLineChars="200"/>
        <w:jc w:val="left"/>
        <w:rPr>
          <w:rFonts w:hint="eastAsia" w:ascii="宋体" w:hAnsi="宋体"/>
          <w:sz w:val="24"/>
          <w:szCs w:val="24"/>
        </w:rPr>
      </w:pPr>
      <w:r>
        <w:rPr>
          <w:rFonts w:hint="eastAsia" w:ascii="宋体" w:hAnsi="宋体"/>
          <w:sz w:val="24"/>
          <w:szCs w:val="24"/>
        </w:rPr>
        <w:t>(1) 原则上供货后，第二个月结算一次，每月25日为结算截止日期。合同货物送抵需方指定的施工现场或仓库，经需方现场验收合格，每月30日前开具所供货物的全额税务发票（附送货签收回单），需方在30日内支付发票金额90%的货款；</w:t>
      </w:r>
    </w:p>
    <w:p>
      <w:pPr>
        <w:spacing w:line="360" w:lineRule="auto"/>
        <w:ind w:firstLine="480" w:firstLineChars="200"/>
        <w:jc w:val="left"/>
        <w:rPr>
          <w:rFonts w:hint="eastAsia" w:ascii="宋体" w:hAnsi="宋体"/>
          <w:sz w:val="24"/>
          <w:szCs w:val="24"/>
        </w:rPr>
      </w:pPr>
      <w:r>
        <w:rPr>
          <w:rFonts w:hint="eastAsia" w:ascii="宋体" w:hAnsi="宋体"/>
          <w:sz w:val="24"/>
          <w:szCs w:val="24"/>
        </w:rPr>
        <w:t>(2)余款10%作为质保金，在合同履行结束（质检合格）12个月后一次性付清。</w:t>
      </w:r>
    </w:p>
    <w:p>
      <w:pPr>
        <w:pStyle w:val="2"/>
        <w:ind w:firstLine="210"/>
        <w:rPr>
          <w:rFonts w:hint="eastAsia"/>
          <w:lang w:val="en-US"/>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p>
    <w:p>
      <w:pPr>
        <w:spacing w:line="360" w:lineRule="auto"/>
        <w:ind w:firstLine="560" w:firstLineChars="200"/>
        <w:jc w:val="center"/>
        <w:outlineLvl w:val="0"/>
        <w:rPr>
          <w:rFonts w:hint="eastAsia" w:ascii="黑体" w:hAnsi="黑体" w:eastAsia="黑体"/>
          <w:sz w:val="28"/>
        </w:rPr>
      </w:pPr>
      <w:r>
        <w:rPr>
          <w:rFonts w:hint="eastAsia" w:ascii="黑体" w:hAnsi="黑体" w:eastAsia="黑体"/>
          <w:sz w:val="28"/>
        </w:rPr>
        <w:t>第四章 国企采购合同（格式）</w:t>
      </w:r>
    </w:p>
    <w:p>
      <w:pPr>
        <w:rPr>
          <w:rFonts w:hint="eastAsia"/>
        </w:rPr>
      </w:pPr>
    </w:p>
    <w:p>
      <w:pPr>
        <w:pStyle w:val="347"/>
        <w:adjustRightInd w:val="0"/>
        <w:snapToGrid w:val="0"/>
        <w:spacing w:line="400" w:lineRule="exact"/>
        <w:jc w:val="center"/>
        <w:rPr>
          <w:b w:val="0"/>
          <w:kern w:val="2"/>
          <w:sz w:val="28"/>
        </w:rPr>
      </w:pPr>
      <w:bookmarkStart w:id="69" w:name="_Toc464206274"/>
      <w:bookmarkStart w:id="70" w:name="_Toc459706761"/>
      <w:r>
        <w:rPr>
          <w:rFonts w:hint="eastAsia"/>
          <w:b w:val="0"/>
          <w:kern w:val="2"/>
          <w:sz w:val="28"/>
        </w:rPr>
        <w:t>第一部分 协议书</w:t>
      </w:r>
    </w:p>
    <w:bookmarkEnd w:id="69"/>
    <w:bookmarkEnd w:id="70"/>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采购人（即甲方，全称）：</w:t>
      </w:r>
      <w:r>
        <w:rPr>
          <w:rFonts w:hint="eastAsia" w:ascii="宋体" w:hAnsi="宋体" w:eastAsia="宋体"/>
          <w:b w:val="0"/>
          <w:sz w:val="24"/>
          <w:u w:val="single"/>
        </w:rPr>
        <w:t xml:space="preserve">                         </w:t>
      </w:r>
    </w:p>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供货商（即乙方，全称）：</w:t>
      </w:r>
      <w:r>
        <w:rPr>
          <w:rFonts w:hint="eastAsia" w:ascii="宋体" w:hAnsi="宋体" w:eastAsia="宋体"/>
          <w:b w:val="0"/>
          <w:sz w:val="24"/>
          <w:u w:val="single"/>
        </w:rPr>
        <w:t xml:space="preserve">                         </w:t>
      </w:r>
    </w:p>
    <w:p>
      <w:pPr>
        <w:pStyle w:val="521"/>
        <w:adjustRightInd w:val="0"/>
        <w:snapToGrid w:val="0"/>
        <w:spacing w:line="400" w:lineRule="exact"/>
        <w:ind w:firstLine="420"/>
        <w:rPr>
          <w:rFonts w:hint="eastAsia" w:ascii="宋体" w:hAnsi="宋体" w:eastAsia="宋体"/>
          <w:b w:val="0"/>
          <w:sz w:val="24"/>
        </w:rPr>
      </w:pPr>
      <w:r>
        <w:rPr>
          <w:rFonts w:hint="eastAsia" w:ascii="宋体" w:hAnsi="宋体" w:eastAsia="宋体"/>
          <w:b w:val="0"/>
          <w:sz w:val="24"/>
        </w:rPr>
        <w:t>依照《中华人民共和国民法典》等相关法律、行政法规，遵循平等、自愿、公平和诚实信用的原则，双方就本采购项目事项协商一致，订立本合同。</w:t>
      </w:r>
    </w:p>
    <w:p>
      <w:pPr>
        <w:pStyle w:val="521"/>
        <w:adjustRightInd w:val="0"/>
        <w:snapToGrid w:val="0"/>
        <w:spacing w:after="120" w:line="400" w:lineRule="exact"/>
        <w:ind w:left="420" w:leftChars="200"/>
        <w:rPr>
          <w:rFonts w:hint="eastAsia" w:ascii="宋体" w:hAnsi="宋体" w:eastAsia="宋体"/>
          <w:b w:val="0"/>
          <w:sz w:val="24"/>
        </w:rPr>
      </w:pPr>
      <w:r>
        <w:rPr>
          <w:rFonts w:hint="eastAsia" w:ascii="宋体" w:hAnsi="宋体" w:eastAsia="宋体"/>
          <w:b w:val="0"/>
          <w:sz w:val="24"/>
        </w:rPr>
        <w:t>一、工程概况</w:t>
      </w:r>
    </w:p>
    <w:p>
      <w:pPr>
        <w:pStyle w:val="521"/>
        <w:adjustRightInd w:val="0"/>
        <w:snapToGrid w:val="0"/>
        <w:spacing w:line="400" w:lineRule="exact"/>
        <w:ind w:firstLine="490"/>
        <w:rPr>
          <w:rFonts w:hint="eastAsia" w:ascii="宋体" w:hAnsi="宋体" w:eastAsia="宋体"/>
          <w:b w:val="0"/>
          <w:color w:val="333333"/>
          <w:sz w:val="24"/>
          <w:u w:val="single"/>
        </w:rPr>
      </w:pPr>
      <w:r>
        <w:rPr>
          <w:rFonts w:hint="eastAsia" w:ascii="宋体" w:hAnsi="宋体" w:eastAsia="宋体"/>
          <w:b w:val="0"/>
          <w:sz w:val="24"/>
        </w:rPr>
        <w:t>1.工程名称：</w:t>
      </w:r>
      <w:r>
        <w:rPr>
          <w:rFonts w:hint="eastAsia" w:ascii="宋体" w:hAnsi="宋体" w:eastAsia="宋体"/>
          <w:b w:val="0"/>
          <w:sz w:val="24"/>
          <w:u w:val="single"/>
        </w:rPr>
        <w:t>无缝钢管、螺旋缝埋弧焊钢管采购</w:t>
      </w:r>
    </w:p>
    <w:p>
      <w:pPr>
        <w:pStyle w:val="521"/>
        <w:adjustRightInd w:val="0"/>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2.工程地点：</w:t>
      </w:r>
      <w:r>
        <w:rPr>
          <w:rFonts w:hint="eastAsia" w:ascii="宋体" w:hAnsi="宋体" w:eastAsia="宋体"/>
          <w:b w:val="0"/>
          <w:sz w:val="24"/>
          <w:u w:val="single"/>
        </w:rPr>
        <w:t>宜兴水务集团有限公司指定地点</w:t>
      </w:r>
    </w:p>
    <w:p>
      <w:pPr>
        <w:pStyle w:val="521"/>
        <w:adjustRightInd w:val="0"/>
        <w:snapToGrid w:val="0"/>
        <w:spacing w:line="400" w:lineRule="exact"/>
        <w:ind w:left="489" w:leftChars="233"/>
        <w:rPr>
          <w:rFonts w:hint="eastAsia" w:ascii="宋体" w:hAnsi="宋体" w:eastAsia="宋体"/>
          <w:b w:val="0"/>
          <w:sz w:val="24"/>
        </w:rPr>
      </w:pPr>
      <w:r>
        <w:rPr>
          <w:rFonts w:hint="eastAsia" w:ascii="宋体" w:hAnsi="宋体" w:eastAsia="宋体"/>
          <w:b w:val="0"/>
          <w:sz w:val="24"/>
        </w:rPr>
        <w:t>3.工程内容：</w:t>
      </w:r>
      <w:r>
        <w:rPr>
          <w:rFonts w:hint="eastAsia" w:ascii="宋体" w:hAnsi="宋体" w:eastAsia="宋体"/>
          <w:b w:val="0"/>
          <w:sz w:val="24"/>
          <w:u w:val="single"/>
        </w:rPr>
        <w:t>无缝钢管、螺旋缝埋弧焊钢管采购</w:t>
      </w:r>
    </w:p>
    <w:p>
      <w:pPr>
        <w:pStyle w:val="521"/>
        <w:adjustRightInd w:val="0"/>
        <w:snapToGrid w:val="0"/>
        <w:spacing w:line="400" w:lineRule="exact"/>
        <w:ind w:left="479" w:leftChars="228" w:right="170"/>
        <w:rPr>
          <w:rFonts w:hint="eastAsia" w:ascii="宋体" w:hAnsi="宋体" w:eastAsia="宋体"/>
          <w:b w:val="0"/>
          <w:sz w:val="24"/>
        </w:rPr>
      </w:pPr>
      <w:r>
        <w:rPr>
          <w:rFonts w:hint="eastAsia" w:ascii="宋体" w:hAnsi="宋体" w:eastAsia="宋体"/>
          <w:b w:val="0"/>
          <w:sz w:val="24"/>
        </w:rPr>
        <w:t>4.工程承包范围：</w:t>
      </w:r>
      <w:r>
        <w:rPr>
          <w:rFonts w:hint="eastAsia" w:ascii="宋体" w:hAnsi="宋体" w:eastAsia="宋体"/>
          <w:b w:val="0"/>
          <w:sz w:val="24"/>
          <w:u w:val="single"/>
        </w:rPr>
        <w:t xml:space="preserve">                           </w:t>
      </w:r>
    </w:p>
    <w:p>
      <w:pPr>
        <w:pStyle w:val="521"/>
        <w:adjustRightInd w:val="0"/>
        <w:snapToGrid w:val="0"/>
        <w:spacing w:line="400" w:lineRule="exact"/>
        <w:ind w:left="479" w:leftChars="228" w:right="170"/>
        <w:rPr>
          <w:rFonts w:hint="eastAsia" w:ascii="宋体" w:hAnsi="宋体" w:eastAsia="宋体"/>
          <w:b w:val="0"/>
          <w:sz w:val="24"/>
        </w:rPr>
      </w:pPr>
      <w:r>
        <w:rPr>
          <w:rFonts w:hint="eastAsia" w:ascii="宋体" w:hAnsi="宋体" w:eastAsia="宋体"/>
          <w:b w:val="0"/>
          <w:sz w:val="24"/>
        </w:rPr>
        <w:t>二、交货期或交付使用期：</w:t>
      </w:r>
    </w:p>
    <w:p>
      <w:pPr>
        <w:pStyle w:val="521"/>
        <w:adjustRightInd w:val="0"/>
        <w:snapToGrid w:val="0"/>
        <w:spacing w:line="400" w:lineRule="exact"/>
        <w:ind w:firstLine="490"/>
        <w:rPr>
          <w:rFonts w:hint="eastAsia" w:ascii="宋体" w:hAnsi="宋体" w:eastAsia="宋体" w:cs="宋体"/>
          <w:b w:val="0"/>
          <w:sz w:val="24"/>
          <w:u w:val="single"/>
        </w:rPr>
      </w:pPr>
      <w:r>
        <w:rPr>
          <w:rFonts w:hint="eastAsia" w:ascii="宋体" w:hAnsi="宋体" w:eastAsia="宋体" w:cs="宋体"/>
          <w:b w:val="0"/>
          <w:sz w:val="24"/>
          <w:u w:val="single"/>
        </w:rPr>
        <w:t>分批供货，成交供应商接到采购人的发货通知后10天内发货。在供货期限内，成交供应商必须按照采购方的工程进度要求和实际需要数量保证供货的连续性（每次供货数量不定，报价时应考虑到额外不满整车供货所增加的运输费用），如延误交货或中断供货将承担违约责任。</w:t>
      </w:r>
    </w:p>
    <w:p>
      <w:pPr>
        <w:pStyle w:val="521"/>
        <w:adjustRightInd w:val="0"/>
        <w:snapToGrid w:val="0"/>
        <w:spacing w:after="120" w:line="400" w:lineRule="exact"/>
        <w:ind w:left="420" w:leftChars="200"/>
        <w:rPr>
          <w:rFonts w:hint="eastAsia" w:ascii="宋体" w:hAnsi="宋体" w:eastAsia="宋体"/>
          <w:b w:val="0"/>
          <w:sz w:val="24"/>
        </w:rPr>
      </w:pPr>
      <w:r>
        <w:rPr>
          <w:rFonts w:hint="eastAsia" w:ascii="宋体" w:hAnsi="宋体" w:eastAsia="宋体"/>
          <w:b w:val="0"/>
          <w:sz w:val="24"/>
        </w:rPr>
        <w:t>三、质量标准</w:t>
      </w:r>
    </w:p>
    <w:p>
      <w:pPr>
        <w:pStyle w:val="521"/>
        <w:adjustRightInd w:val="0"/>
        <w:snapToGrid w:val="0"/>
        <w:spacing w:line="400" w:lineRule="exact"/>
        <w:ind w:firstLine="490"/>
        <w:rPr>
          <w:rFonts w:hint="eastAsia" w:ascii="宋体" w:hAnsi="宋体" w:eastAsia="宋体"/>
          <w:b w:val="0"/>
          <w:sz w:val="24"/>
        </w:rPr>
      </w:pPr>
      <w:r>
        <w:rPr>
          <w:rFonts w:hint="eastAsia" w:ascii="宋体" w:hAnsi="宋体" w:eastAsia="宋体"/>
          <w:b w:val="0"/>
          <w:sz w:val="24"/>
        </w:rPr>
        <w:t>合格，符合国家现行有关标准、相关行业规范及采购人要求，由采购人负责验收，宜兴市市场监督管理局将履行监督职能。</w:t>
      </w:r>
    </w:p>
    <w:p>
      <w:pPr>
        <w:pStyle w:val="521"/>
        <w:adjustRightInd w:val="0"/>
        <w:snapToGrid w:val="0"/>
        <w:spacing w:after="120" w:line="400" w:lineRule="exact"/>
        <w:ind w:left="420" w:leftChars="200"/>
        <w:rPr>
          <w:rFonts w:hint="eastAsia" w:ascii="宋体" w:hAnsi="宋体" w:eastAsia="宋体"/>
          <w:b w:val="0"/>
          <w:sz w:val="24"/>
          <w:u w:val="single"/>
        </w:rPr>
      </w:pPr>
      <w:r>
        <w:rPr>
          <w:rFonts w:hint="eastAsia" w:ascii="宋体" w:hAnsi="宋体" w:eastAsia="宋体"/>
          <w:b w:val="0"/>
          <w:sz w:val="24"/>
        </w:rPr>
        <w:t>四、合同价款</w:t>
      </w:r>
    </w:p>
    <w:p>
      <w:pPr>
        <w:pStyle w:val="521"/>
        <w:adjustRightInd w:val="0"/>
        <w:snapToGrid w:val="0"/>
        <w:spacing w:line="400" w:lineRule="exact"/>
        <w:ind w:firstLine="490"/>
        <w:rPr>
          <w:rFonts w:hint="eastAsia" w:ascii="宋体" w:hAnsi="宋体" w:eastAsia="宋体"/>
          <w:b w:val="0"/>
          <w:sz w:val="24"/>
        </w:rPr>
      </w:pPr>
      <w:r>
        <w:rPr>
          <w:rFonts w:hint="eastAsia" w:ascii="宋体" w:hAnsi="宋体" w:eastAsia="宋体"/>
          <w:b w:val="0"/>
          <w:sz w:val="24"/>
        </w:rPr>
        <w:t>金额（大写）：</w:t>
      </w:r>
      <w:r>
        <w:rPr>
          <w:rFonts w:hint="eastAsia" w:ascii="宋体" w:hAnsi="宋体" w:eastAsia="宋体"/>
          <w:b w:val="0"/>
          <w:sz w:val="24"/>
          <w:u w:val="single"/>
        </w:rPr>
        <w:t xml:space="preserve">              </w:t>
      </w:r>
      <w:r>
        <w:rPr>
          <w:rFonts w:hint="eastAsia" w:ascii="宋体" w:hAnsi="宋体" w:eastAsia="宋体"/>
          <w:b w:val="0"/>
          <w:sz w:val="24"/>
        </w:rPr>
        <w:t>元（人民币）</w:t>
      </w:r>
    </w:p>
    <w:p>
      <w:pPr>
        <w:pStyle w:val="521"/>
        <w:adjustRightInd w:val="0"/>
        <w:snapToGrid w:val="0"/>
        <w:spacing w:line="400" w:lineRule="exact"/>
        <w:ind w:left="1199" w:leftChars="571" w:firstLine="360" w:firstLineChars="150"/>
        <w:rPr>
          <w:rFonts w:hint="eastAsia" w:ascii="宋体" w:hAnsi="宋体" w:eastAsia="宋体"/>
          <w:b w:val="0"/>
          <w:sz w:val="24"/>
        </w:rPr>
      </w:pPr>
      <w:r>
        <w:rPr>
          <w:rFonts w:hint="eastAsia" w:ascii="宋体" w:hAnsi="宋体" w:eastAsia="宋体"/>
          <w:b w:val="0"/>
          <w:sz w:val="24"/>
        </w:rPr>
        <w:t>￥：</w:t>
      </w:r>
      <w:r>
        <w:rPr>
          <w:rFonts w:hint="eastAsia" w:ascii="宋体" w:hAnsi="宋体" w:eastAsia="宋体"/>
          <w:b w:val="0"/>
          <w:sz w:val="24"/>
          <w:u w:val="single"/>
        </w:rPr>
        <w:t xml:space="preserve">              </w:t>
      </w:r>
      <w:r>
        <w:rPr>
          <w:rFonts w:hint="eastAsia" w:ascii="宋体" w:hAnsi="宋体" w:eastAsia="宋体"/>
          <w:b w:val="0"/>
          <w:sz w:val="24"/>
        </w:rPr>
        <w:t>元</w:t>
      </w:r>
    </w:p>
    <w:p>
      <w:pPr>
        <w:pStyle w:val="521"/>
        <w:adjustRightInd w:val="0"/>
        <w:snapToGrid w:val="0"/>
        <w:spacing w:after="120" w:line="400" w:lineRule="exact"/>
        <w:ind w:left="420" w:leftChars="200"/>
        <w:rPr>
          <w:rFonts w:hint="eastAsia" w:ascii="宋体" w:hAnsi="宋体" w:eastAsia="宋体"/>
          <w:b w:val="0"/>
          <w:sz w:val="24"/>
        </w:rPr>
      </w:pPr>
      <w:bookmarkStart w:id="71" w:name="_Toc351203486"/>
      <w:r>
        <w:rPr>
          <w:rFonts w:hint="eastAsia" w:ascii="宋体" w:hAnsi="宋体" w:eastAsia="宋体"/>
          <w:b w:val="0"/>
          <w:sz w:val="24"/>
        </w:rPr>
        <w:t>五、合同文件构成</w:t>
      </w:r>
      <w:bookmarkEnd w:id="71"/>
    </w:p>
    <w:p>
      <w:pPr>
        <w:pStyle w:val="522"/>
        <w:autoSpaceDE w:val="0"/>
        <w:autoSpaceDN w:val="0"/>
        <w:adjustRightInd w:val="0"/>
        <w:spacing w:line="360" w:lineRule="auto"/>
        <w:ind w:firstLine="480" w:firstLineChars="200"/>
        <w:jc w:val="left"/>
        <w:rPr>
          <w:rFonts w:ascii="宋体"/>
          <w:color w:val="000000"/>
          <w:sz w:val="24"/>
          <w:szCs w:val="22"/>
        </w:rPr>
      </w:pPr>
      <w:r>
        <w:rPr>
          <w:rFonts w:hint="eastAsia" w:ascii="宋体" w:hAnsi="宋体"/>
          <w:color w:val="000000"/>
          <w:sz w:val="24"/>
          <w:szCs w:val="22"/>
        </w:rPr>
        <w:t>（1）合同书及所附条款；（2）成交通知书；（3）供应商成交的响应文件；（4）询价通知书；（5）成交供应商在采购过程中所作的其他有关承诺、声明、书面澄清等。在合同订立及履行过程中形成的与合同有关的文件均构成合同文件组成部分。</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上述各项合同文件包括合同当事人就该项合同文件所作出的补充和修改，属于同一类内容的文件，应以最新签署的为准。专用合同条款及其附件须经合同当事人签字或盖章。</w:t>
      </w:r>
    </w:p>
    <w:p>
      <w:pPr>
        <w:pStyle w:val="521"/>
        <w:adjustRightInd w:val="0"/>
        <w:snapToGrid w:val="0"/>
        <w:spacing w:after="120" w:line="400" w:lineRule="exact"/>
        <w:ind w:left="420" w:leftChars="200"/>
        <w:rPr>
          <w:rFonts w:hint="eastAsia" w:ascii="宋体" w:hAnsi="宋体" w:eastAsia="宋体"/>
          <w:b w:val="0"/>
          <w:sz w:val="24"/>
        </w:rPr>
      </w:pPr>
      <w:bookmarkStart w:id="72" w:name="_Toc351203487"/>
      <w:r>
        <w:rPr>
          <w:rFonts w:hint="eastAsia" w:ascii="宋体" w:hAnsi="宋体" w:eastAsia="宋体"/>
          <w:b w:val="0"/>
          <w:sz w:val="24"/>
        </w:rPr>
        <w:t>六、承诺</w:t>
      </w:r>
      <w:bookmarkEnd w:id="72"/>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1.采购人承诺按照法律规定履行项目审批手续、项目资金并按照合同约定的期限和方式支付合同价款。</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2.供货商承诺按照法律规定及合同约定组织完成供货，确保货物质量和安全，并在质保期内承担相应的责任。</w:t>
      </w:r>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3.采购人和供货商通过招报价形式签订合同的，双方理解并承诺不再就同一项目另行签订与合同实质性内容相背离的协议。</w:t>
      </w:r>
    </w:p>
    <w:p>
      <w:pPr>
        <w:pStyle w:val="521"/>
        <w:adjustRightInd w:val="0"/>
        <w:snapToGrid w:val="0"/>
        <w:spacing w:after="120" w:line="400" w:lineRule="exact"/>
        <w:ind w:firstLine="240" w:firstLineChars="100"/>
        <w:rPr>
          <w:rFonts w:hint="eastAsia" w:ascii="宋体" w:hAnsi="宋体" w:eastAsia="宋体"/>
          <w:b w:val="0"/>
          <w:bCs/>
          <w:color w:val="000000"/>
          <w:sz w:val="24"/>
        </w:rPr>
      </w:pPr>
      <w:bookmarkStart w:id="73" w:name="_Toc351203488"/>
      <w:r>
        <w:rPr>
          <w:rFonts w:hint="eastAsia" w:ascii="宋体" w:hAnsi="宋体" w:eastAsia="宋体"/>
          <w:b w:val="0"/>
          <w:sz w:val="24"/>
        </w:rPr>
        <w:t xml:space="preserve"> 七、词语含义</w:t>
      </w:r>
      <w:bookmarkEnd w:id="73"/>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本协议书中词语含义与第六章合同条款中赋予的含义相同。</w:t>
      </w:r>
    </w:p>
    <w:p>
      <w:pPr>
        <w:pStyle w:val="521"/>
        <w:adjustRightInd w:val="0"/>
        <w:snapToGrid w:val="0"/>
        <w:spacing w:after="120" w:line="400" w:lineRule="exact"/>
        <w:ind w:firstLine="360" w:firstLineChars="150"/>
        <w:rPr>
          <w:rFonts w:hint="eastAsia" w:ascii="宋体" w:hAnsi="宋体" w:eastAsia="宋体"/>
          <w:b w:val="0"/>
          <w:sz w:val="24"/>
        </w:rPr>
      </w:pPr>
      <w:bookmarkStart w:id="74" w:name="_Toc351203489"/>
      <w:r>
        <w:rPr>
          <w:rFonts w:hint="eastAsia" w:ascii="宋体" w:hAnsi="宋体" w:eastAsia="宋体"/>
          <w:b w:val="0"/>
          <w:sz w:val="24"/>
        </w:rPr>
        <w:t>八、签订时间</w:t>
      </w:r>
      <w:bookmarkEnd w:id="74"/>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本合同于      年    月    日签订。</w:t>
      </w:r>
    </w:p>
    <w:p>
      <w:pPr>
        <w:pStyle w:val="521"/>
        <w:adjustRightInd w:val="0"/>
        <w:snapToGrid w:val="0"/>
        <w:spacing w:after="120" w:line="400" w:lineRule="exact"/>
        <w:ind w:firstLine="360" w:firstLineChars="150"/>
        <w:rPr>
          <w:rFonts w:hint="eastAsia" w:ascii="宋体" w:hAnsi="宋体" w:eastAsia="宋体"/>
          <w:b w:val="0"/>
          <w:sz w:val="24"/>
        </w:rPr>
      </w:pPr>
      <w:bookmarkStart w:id="75" w:name="_Toc351203490"/>
      <w:r>
        <w:rPr>
          <w:rFonts w:hint="eastAsia" w:ascii="宋体" w:hAnsi="宋体" w:eastAsia="宋体"/>
          <w:b w:val="0"/>
          <w:sz w:val="24"/>
        </w:rPr>
        <w:t>九、签订地点</w:t>
      </w:r>
      <w:bookmarkEnd w:id="75"/>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本合同在   采购人办公室    签订。</w:t>
      </w:r>
    </w:p>
    <w:p>
      <w:pPr>
        <w:pStyle w:val="521"/>
        <w:adjustRightInd w:val="0"/>
        <w:snapToGrid w:val="0"/>
        <w:spacing w:after="120" w:line="400" w:lineRule="exact"/>
        <w:ind w:firstLine="360" w:firstLineChars="150"/>
        <w:rPr>
          <w:rFonts w:hint="eastAsia" w:ascii="宋体" w:hAnsi="宋体" w:eastAsia="宋体"/>
          <w:b w:val="0"/>
          <w:sz w:val="24"/>
        </w:rPr>
      </w:pPr>
      <w:bookmarkStart w:id="76" w:name="_Toc351203491"/>
      <w:r>
        <w:rPr>
          <w:rFonts w:hint="eastAsia" w:ascii="宋体" w:hAnsi="宋体" w:eastAsia="宋体"/>
          <w:b w:val="0"/>
          <w:sz w:val="24"/>
        </w:rPr>
        <w:t>十、补充协议</w:t>
      </w:r>
      <w:bookmarkEnd w:id="76"/>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合同未尽事宜，合同当事人另行签订补充协议，补充协议是合同的组成部分。</w:t>
      </w:r>
    </w:p>
    <w:p>
      <w:pPr>
        <w:pStyle w:val="521"/>
        <w:adjustRightInd w:val="0"/>
        <w:snapToGrid w:val="0"/>
        <w:spacing w:after="120" w:line="400" w:lineRule="exact"/>
        <w:ind w:firstLine="360" w:firstLineChars="150"/>
        <w:rPr>
          <w:rFonts w:hint="eastAsia" w:ascii="宋体" w:hAnsi="宋体" w:eastAsia="宋体"/>
          <w:b w:val="0"/>
          <w:sz w:val="24"/>
        </w:rPr>
      </w:pPr>
      <w:bookmarkStart w:id="77" w:name="_Toc351203492"/>
      <w:r>
        <w:rPr>
          <w:rFonts w:hint="eastAsia" w:ascii="宋体" w:hAnsi="宋体" w:eastAsia="宋体"/>
          <w:b w:val="0"/>
          <w:sz w:val="24"/>
        </w:rPr>
        <w:t>十一、合同生效</w:t>
      </w:r>
      <w:bookmarkEnd w:id="77"/>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本合同自   双方签字盖章后    生效。</w:t>
      </w:r>
    </w:p>
    <w:p>
      <w:pPr>
        <w:pStyle w:val="521"/>
        <w:adjustRightInd w:val="0"/>
        <w:snapToGrid w:val="0"/>
        <w:spacing w:after="120" w:line="400" w:lineRule="exact"/>
        <w:ind w:firstLine="360" w:firstLineChars="150"/>
        <w:rPr>
          <w:rFonts w:hint="eastAsia" w:ascii="宋体" w:hAnsi="宋体" w:eastAsia="宋体"/>
          <w:b w:val="0"/>
          <w:color w:val="000000"/>
          <w:sz w:val="24"/>
        </w:rPr>
      </w:pPr>
      <w:bookmarkStart w:id="78" w:name="_Toc351203493"/>
      <w:r>
        <w:rPr>
          <w:rFonts w:hint="eastAsia" w:ascii="宋体" w:hAnsi="宋体" w:eastAsia="宋体"/>
          <w:b w:val="0"/>
          <w:sz w:val="24"/>
        </w:rPr>
        <w:t>十二、合同份数</w:t>
      </w:r>
      <w:bookmarkEnd w:id="78"/>
    </w:p>
    <w:p>
      <w:pPr>
        <w:pStyle w:val="521"/>
        <w:adjustRightInd w:val="0"/>
        <w:snapToGrid w:val="0"/>
        <w:spacing w:line="400" w:lineRule="exact"/>
        <w:ind w:firstLine="480" w:firstLineChars="200"/>
        <w:rPr>
          <w:rFonts w:hint="eastAsia" w:ascii="宋体" w:hAnsi="宋体" w:eastAsia="宋体"/>
          <w:b w:val="0"/>
          <w:bCs/>
          <w:color w:val="000000"/>
          <w:sz w:val="24"/>
        </w:rPr>
      </w:pPr>
      <w:r>
        <w:rPr>
          <w:rFonts w:hint="eastAsia" w:ascii="宋体" w:hAnsi="宋体" w:eastAsia="宋体"/>
          <w:b w:val="0"/>
          <w:bCs/>
          <w:color w:val="000000"/>
          <w:sz w:val="24"/>
        </w:rPr>
        <w:t>本合同一式 六 份，均具有同等法律效力，采购人执 三 份，供货商执 二 份，代理公司存档一份。</w:t>
      </w:r>
    </w:p>
    <w:p>
      <w:pPr>
        <w:pStyle w:val="521"/>
        <w:adjustRightInd w:val="0"/>
        <w:snapToGrid w:val="0"/>
        <w:spacing w:line="400" w:lineRule="exact"/>
        <w:rPr>
          <w:rFonts w:hint="eastAsia" w:ascii="宋体" w:hAnsi="宋体" w:eastAsia="宋体"/>
          <w:b w:val="0"/>
          <w:bCs/>
          <w:color w:val="000000"/>
          <w:sz w:val="24"/>
        </w:rPr>
      </w:pPr>
    </w:p>
    <w:p>
      <w:pPr>
        <w:pStyle w:val="521"/>
        <w:tabs>
          <w:tab w:val="left" w:pos="5000"/>
        </w:tabs>
        <w:adjustRightInd w:val="0"/>
        <w:snapToGrid w:val="0"/>
        <w:spacing w:line="400" w:lineRule="exact"/>
        <w:ind w:left="420"/>
        <w:rPr>
          <w:rFonts w:hint="eastAsia" w:ascii="宋体" w:hAnsi="宋体" w:eastAsia="宋体"/>
          <w:b w:val="0"/>
          <w:color w:val="000000"/>
          <w:sz w:val="24"/>
        </w:rPr>
      </w:pPr>
      <w:r>
        <w:rPr>
          <w:rFonts w:hint="eastAsia" w:ascii="宋体" w:hAnsi="宋体" w:eastAsia="宋体"/>
          <w:b w:val="0"/>
          <w:color w:val="000000"/>
          <w:sz w:val="24"/>
        </w:rPr>
        <w:t>采    购    人（公章）：</w:t>
      </w:r>
      <w:r>
        <w:rPr>
          <w:rFonts w:hint="eastAsia" w:ascii="宋体" w:hAnsi="宋体" w:eastAsia="宋体"/>
          <w:b w:val="0"/>
          <w:color w:val="000000"/>
          <w:sz w:val="24"/>
        </w:rPr>
        <w:tab/>
      </w:r>
      <w:r>
        <w:rPr>
          <w:rFonts w:hint="eastAsia" w:ascii="宋体" w:hAnsi="宋体" w:eastAsia="宋体"/>
          <w:b w:val="0"/>
          <w:color w:val="000000"/>
          <w:sz w:val="24"/>
        </w:rPr>
        <w:t>供    货    商（公章）：</w:t>
      </w:r>
    </w:p>
    <w:p>
      <w:pPr>
        <w:pStyle w:val="521"/>
        <w:tabs>
          <w:tab w:val="left" w:pos="5000"/>
        </w:tabs>
        <w:adjustRightInd w:val="0"/>
        <w:snapToGrid w:val="0"/>
        <w:spacing w:line="400" w:lineRule="exact"/>
        <w:ind w:left="420"/>
        <w:rPr>
          <w:rFonts w:hint="eastAsia" w:ascii="宋体" w:hAnsi="宋体" w:eastAsia="宋体"/>
          <w:b w:val="0"/>
          <w:color w:val="000000"/>
          <w:sz w:val="24"/>
        </w:rPr>
      </w:pPr>
    </w:p>
    <w:p>
      <w:pPr>
        <w:pStyle w:val="521"/>
        <w:tabs>
          <w:tab w:val="left" w:pos="5000"/>
        </w:tabs>
        <w:adjustRightInd w:val="0"/>
        <w:snapToGrid w:val="0"/>
        <w:spacing w:line="400" w:lineRule="exact"/>
        <w:ind w:left="420"/>
        <w:rPr>
          <w:rFonts w:hint="eastAsia" w:ascii="宋体" w:hAnsi="宋体" w:eastAsia="宋体"/>
          <w:b w:val="0"/>
          <w:color w:val="000000"/>
          <w:sz w:val="24"/>
        </w:rPr>
      </w:pPr>
      <w:r>
        <w:rPr>
          <w:rFonts w:hint="eastAsia" w:ascii="宋体" w:hAnsi="宋体" w:eastAsia="宋体"/>
          <w:b w:val="0"/>
          <w:color w:val="000000"/>
          <w:sz w:val="24"/>
        </w:rPr>
        <w:t>法定代表人（签字）：</w:t>
      </w:r>
      <w:r>
        <w:rPr>
          <w:rFonts w:hint="eastAsia" w:ascii="宋体" w:hAnsi="宋体" w:eastAsia="宋体"/>
          <w:b w:val="0"/>
          <w:color w:val="000000"/>
          <w:sz w:val="24"/>
        </w:rPr>
        <w:tab/>
      </w:r>
      <w:r>
        <w:rPr>
          <w:rFonts w:hint="eastAsia" w:ascii="宋体" w:hAnsi="宋体" w:eastAsia="宋体"/>
          <w:b w:val="0"/>
          <w:color w:val="000000"/>
          <w:sz w:val="24"/>
        </w:rPr>
        <w:tab/>
      </w:r>
      <w:r>
        <w:rPr>
          <w:rFonts w:hint="eastAsia" w:ascii="宋体" w:hAnsi="宋体" w:eastAsia="宋体"/>
          <w:b w:val="0"/>
          <w:color w:val="000000"/>
          <w:sz w:val="24"/>
        </w:rPr>
        <w:t>法定代表人（签字）：</w:t>
      </w:r>
    </w:p>
    <w:p>
      <w:pPr>
        <w:pStyle w:val="521"/>
        <w:tabs>
          <w:tab w:val="left" w:pos="4700"/>
        </w:tabs>
        <w:adjustRightInd w:val="0"/>
        <w:snapToGrid w:val="0"/>
        <w:spacing w:line="400" w:lineRule="exact"/>
        <w:ind w:firstLine="490"/>
        <w:rPr>
          <w:rFonts w:hint="eastAsia" w:ascii="宋体" w:hAnsi="宋体" w:eastAsia="宋体"/>
          <w:b w:val="0"/>
          <w:sz w:val="24"/>
        </w:rPr>
      </w:pPr>
      <w:r>
        <w:rPr>
          <w:rFonts w:hint="eastAsia" w:ascii="宋体" w:hAnsi="宋体" w:eastAsia="宋体"/>
          <w:b w:val="0"/>
          <w:color w:val="000000"/>
          <w:sz w:val="24"/>
          <w:u w:val="single"/>
        </w:rPr>
        <w:t xml:space="preserve">       </w:t>
      </w:r>
      <w:r>
        <w:rPr>
          <w:rFonts w:hint="eastAsia" w:ascii="宋体" w:hAnsi="宋体" w:eastAsia="宋体"/>
          <w:b w:val="0"/>
          <w:color w:val="000000"/>
          <w:sz w:val="24"/>
        </w:rPr>
        <w:t>年</w:t>
      </w:r>
      <w:r>
        <w:rPr>
          <w:rFonts w:hint="eastAsia" w:ascii="宋体" w:hAnsi="宋体" w:eastAsia="宋体"/>
          <w:b w:val="0"/>
          <w:color w:val="000000"/>
          <w:sz w:val="24"/>
          <w:u w:val="single"/>
        </w:rPr>
        <w:t xml:space="preserve">     </w:t>
      </w:r>
      <w:r>
        <w:rPr>
          <w:rFonts w:hint="eastAsia" w:ascii="宋体" w:hAnsi="宋体" w:eastAsia="宋体"/>
          <w:b w:val="0"/>
          <w:color w:val="000000"/>
          <w:sz w:val="24"/>
        </w:rPr>
        <w:t>月</w:t>
      </w:r>
      <w:r>
        <w:rPr>
          <w:rFonts w:hint="eastAsia" w:ascii="宋体" w:hAnsi="宋体" w:eastAsia="宋体"/>
          <w:b w:val="0"/>
          <w:color w:val="000000"/>
          <w:sz w:val="24"/>
          <w:u w:val="single"/>
        </w:rPr>
        <w:t xml:space="preserve">      </w:t>
      </w:r>
      <w:r>
        <w:rPr>
          <w:rFonts w:hint="eastAsia" w:ascii="宋体" w:hAnsi="宋体" w:eastAsia="宋体"/>
          <w:b w:val="0"/>
          <w:color w:val="000000"/>
          <w:sz w:val="24"/>
        </w:rPr>
        <w:t>日</w:t>
      </w:r>
      <w:r>
        <w:rPr>
          <w:rFonts w:hint="eastAsia" w:ascii="宋体" w:hAnsi="宋体" w:eastAsia="宋体"/>
          <w:b w:val="0"/>
          <w:color w:val="000000"/>
          <w:sz w:val="24"/>
        </w:rPr>
        <w:tab/>
      </w:r>
      <w:r>
        <w:rPr>
          <w:rFonts w:hint="eastAsia" w:ascii="宋体" w:hAnsi="宋体" w:eastAsia="宋体"/>
          <w:b w:val="0"/>
          <w:color w:val="000000"/>
          <w:sz w:val="24"/>
          <w:u w:val="single"/>
        </w:rPr>
        <w:t xml:space="preserve">       </w:t>
      </w:r>
      <w:r>
        <w:rPr>
          <w:rFonts w:hint="eastAsia" w:ascii="宋体" w:hAnsi="宋体" w:eastAsia="宋体"/>
          <w:b w:val="0"/>
          <w:color w:val="000000"/>
          <w:sz w:val="24"/>
        </w:rPr>
        <w:t>年</w:t>
      </w:r>
      <w:r>
        <w:rPr>
          <w:rFonts w:hint="eastAsia" w:ascii="宋体" w:hAnsi="宋体" w:eastAsia="宋体"/>
          <w:b w:val="0"/>
          <w:color w:val="000000"/>
          <w:sz w:val="24"/>
          <w:u w:val="single"/>
        </w:rPr>
        <w:t xml:space="preserve">      </w:t>
      </w:r>
      <w:r>
        <w:rPr>
          <w:rFonts w:hint="eastAsia" w:ascii="宋体" w:hAnsi="宋体" w:eastAsia="宋体"/>
          <w:b w:val="0"/>
          <w:color w:val="000000"/>
          <w:sz w:val="24"/>
        </w:rPr>
        <w:t>月</w:t>
      </w:r>
      <w:r>
        <w:rPr>
          <w:rFonts w:hint="eastAsia" w:ascii="宋体" w:hAnsi="宋体" w:eastAsia="宋体"/>
          <w:b w:val="0"/>
          <w:color w:val="000000"/>
          <w:sz w:val="24"/>
          <w:u w:val="single"/>
        </w:rPr>
        <w:t xml:space="preserve">      </w:t>
      </w:r>
      <w:r>
        <w:rPr>
          <w:rFonts w:hint="eastAsia" w:ascii="宋体" w:hAnsi="宋体" w:eastAsia="宋体"/>
          <w:b w:val="0"/>
          <w:color w:val="000000"/>
          <w:sz w:val="24"/>
        </w:rPr>
        <w:t>日</w:t>
      </w:r>
    </w:p>
    <w:p>
      <w:pPr>
        <w:pStyle w:val="522"/>
        <w:spacing w:line="380" w:lineRule="exact"/>
        <w:ind w:firstLine="490"/>
        <w:rPr>
          <w:rFonts w:hint="eastAsia"/>
          <w:szCs w:val="22"/>
        </w:rPr>
      </w:pPr>
    </w:p>
    <w:p>
      <w:pPr>
        <w:pStyle w:val="522"/>
        <w:rPr>
          <w:rFonts w:ascii="黑体" w:eastAsia="黑体"/>
          <w:sz w:val="28"/>
          <w:szCs w:val="22"/>
        </w:rPr>
      </w:pPr>
    </w:p>
    <w:p>
      <w:pPr>
        <w:pStyle w:val="347"/>
        <w:adjustRightInd w:val="0"/>
        <w:snapToGrid w:val="0"/>
        <w:spacing w:line="400" w:lineRule="exact"/>
        <w:jc w:val="center"/>
        <w:rPr>
          <w:rFonts w:hint="eastAsia"/>
          <w:color w:val="000000"/>
          <w:sz w:val="28"/>
          <w:szCs w:val="22"/>
        </w:rPr>
      </w:pPr>
      <w:r>
        <w:rPr>
          <w:color w:val="000000"/>
          <w:sz w:val="28"/>
          <w:szCs w:val="22"/>
        </w:rPr>
        <w:br w:type="page"/>
      </w:r>
      <w:r>
        <w:rPr>
          <w:rFonts w:hint="eastAsia"/>
          <w:b w:val="0"/>
          <w:kern w:val="2"/>
          <w:sz w:val="28"/>
        </w:rPr>
        <w:t>第二部分 合同主要条款</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根据询价通知书和本项目的成交通知书，采供双方就此次成交的设备和相关问题，同意按下列条款规定执行。</w:t>
      </w:r>
    </w:p>
    <w:p>
      <w:pPr>
        <w:pStyle w:val="521"/>
        <w:snapToGrid w:val="0"/>
        <w:spacing w:line="400" w:lineRule="exact"/>
        <w:ind w:firstLine="490"/>
        <w:rPr>
          <w:rFonts w:hint="eastAsia" w:ascii="宋体" w:hAnsi="宋体" w:cs="宋体"/>
          <w:szCs w:val="32"/>
        </w:rPr>
      </w:pPr>
      <w:r>
        <w:rPr>
          <w:rFonts w:hint="eastAsia" w:ascii="宋体" w:hAnsi="宋体" w:eastAsia="宋体"/>
          <w:b w:val="0"/>
          <w:sz w:val="24"/>
        </w:rPr>
        <w:t>一、合同内容：</w:t>
      </w:r>
      <w:r>
        <w:rPr>
          <w:rFonts w:hint="eastAsia" w:ascii="宋体" w:hAnsi="宋体" w:eastAsia="宋体" w:cs="宋体"/>
          <w:b w:val="0"/>
          <w:sz w:val="24"/>
          <w:u w:val="single"/>
        </w:rPr>
        <w:t>甲方向乙方购买</w:t>
      </w:r>
      <w:r>
        <w:rPr>
          <w:rFonts w:hint="eastAsia" w:ascii="宋体" w:hAnsi="宋体" w:eastAsia="宋体"/>
          <w:b w:val="0"/>
          <w:sz w:val="24"/>
          <w:u w:val="single"/>
        </w:rPr>
        <w:t>无缝钢管和螺旋缝埋弧焊钢管</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二、价格及支付：</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1、按此次成交价格执行，合同总标的金额为</w:t>
      </w:r>
      <w:r>
        <w:rPr>
          <w:rFonts w:hint="eastAsia" w:ascii="宋体" w:hAnsi="宋体" w:eastAsia="宋体"/>
          <w:b w:val="0"/>
          <w:sz w:val="24"/>
          <w:u w:val="single"/>
        </w:rPr>
        <w:t xml:space="preserve">              </w:t>
      </w:r>
      <w:r>
        <w:rPr>
          <w:rFonts w:hint="eastAsia" w:ascii="宋体" w:hAnsi="宋体" w:eastAsia="宋体"/>
          <w:b w:val="0"/>
          <w:sz w:val="24"/>
        </w:rPr>
        <w:t>元。</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2、本合同为固定总价合同，</w:t>
      </w:r>
      <w:r>
        <w:rPr>
          <w:rFonts w:hint="eastAsia" w:ascii="宋体" w:hAnsi="宋体" w:eastAsia="宋体" w:cs="宋体"/>
          <w:b w:val="0"/>
          <w:sz w:val="24"/>
        </w:rPr>
        <w:t>采购总</w:t>
      </w:r>
      <w:r>
        <w:rPr>
          <w:rFonts w:hint="eastAsia" w:ascii="宋体" w:hAnsi="宋体" w:eastAsia="宋体"/>
          <w:b w:val="0"/>
          <w:sz w:val="24"/>
        </w:rPr>
        <w:t>价</w:t>
      </w:r>
      <w:r>
        <w:rPr>
          <w:rFonts w:hint="eastAsia" w:ascii="宋体" w:hAnsi="宋体" w:eastAsia="宋体" w:cs="宋体"/>
          <w:b w:val="0"/>
          <w:sz w:val="24"/>
          <w:u w:val="single"/>
        </w:rPr>
        <w:t>包括全部设备、辅助材料、指导安装、调试、人力、机械、运输、仓储、各种税费（如遇税金政策性调价调整，报价将同步进行调整）、劳保、专利技术、质保、政策性文件规定及合同包含的所有风险、责任等各项所有费用</w:t>
      </w:r>
      <w:r>
        <w:rPr>
          <w:rFonts w:hint="eastAsia" w:ascii="宋体" w:hAnsi="宋体" w:eastAsia="宋体"/>
          <w:b w:val="0"/>
          <w:sz w:val="24"/>
        </w:rPr>
        <w:t>。</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3、付款步骤：</w:t>
      </w:r>
    </w:p>
    <w:p>
      <w:pPr>
        <w:pStyle w:val="521"/>
        <w:snapToGrid w:val="0"/>
        <w:spacing w:line="400" w:lineRule="exact"/>
        <w:ind w:firstLine="490"/>
        <w:rPr>
          <w:rFonts w:hint="eastAsia" w:ascii="宋体" w:hAnsi="宋体" w:eastAsia="宋体"/>
          <w:b w:val="0"/>
          <w:kern w:val="2"/>
          <w:sz w:val="24"/>
        </w:rPr>
      </w:pPr>
      <w:r>
        <w:rPr>
          <w:rFonts w:hint="eastAsia" w:ascii="宋体" w:hAnsi="宋体" w:eastAsia="宋体"/>
          <w:b w:val="0"/>
          <w:kern w:val="2"/>
          <w:sz w:val="24"/>
        </w:rPr>
        <w:t>(1) 原则上供货后，第二个月结算一次，每月25日为结算截止日期。合同货物送抵需方指定的施工现场或仓库，经需方现场验收合格，每月30日前开具所供货物的全额税务发票（附送货签收回单），需方在30日内支付发票金额90%的货款；</w:t>
      </w:r>
    </w:p>
    <w:p>
      <w:pPr>
        <w:pStyle w:val="521"/>
        <w:snapToGrid w:val="0"/>
        <w:spacing w:line="400" w:lineRule="exact"/>
        <w:ind w:firstLine="490"/>
        <w:rPr>
          <w:rFonts w:hint="eastAsia" w:ascii="宋体" w:hAnsi="宋体" w:eastAsia="宋体"/>
          <w:b w:val="0"/>
          <w:kern w:val="2"/>
          <w:sz w:val="24"/>
        </w:rPr>
      </w:pPr>
      <w:r>
        <w:rPr>
          <w:rFonts w:hint="eastAsia" w:ascii="宋体" w:hAnsi="宋体" w:eastAsia="宋体"/>
          <w:b w:val="0"/>
          <w:kern w:val="2"/>
          <w:sz w:val="24"/>
        </w:rPr>
        <w:t>(2)余款10%作为质保金，在合同履行结束（质检合格）12个月后一次性付清。</w:t>
      </w:r>
    </w:p>
    <w:p>
      <w:pPr>
        <w:pStyle w:val="521"/>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4、履约保证金的退还：</w:t>
      </w:r>
      <w:r>
        <w:rPr>
          <w:rFonts w:hint="eastAsia" w:ascii="宋体" w:hAnsi="宋体" w:eastAsia="宋体" w:cs="宋体"/>
          <w:b w:val="0"/>
          <w:sz w:val="24"/>
          <w:u w:val="single"/>
        </w:rPr>
        <w:t>报价总价的10%（履约保证金），合同履行结束，验收合格后无息退还。</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5、付款方式：银行汇票或转帐支票。</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三、质量保证：</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1、产品的质量、技术标准按国家有关约定、询价通知书和响应文件，安装完成后需通过当地产品质量技术监督检验机构的验收。</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2、乙方应按合同规定的设备性能、质量标准向甲方提供未经使用的符合质量要求的全新设备。</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3、设备材料运至施工现场后,在竣工验收之前,由成交供应商承担一切保管责任。</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四、 质量验收要求：</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供应商一旦成交后，采购人将视情况至成交供应商生产厂家实地察看响应文件中提供的相关资质证书、销售业绩、检测报告及生产设备等情况，如发现实际情况与响应文件中不一致的，将取消其成交资格，报相关监管部门进行处理，并在宜兴市公共资源交易网上公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供货过程中，采购人将会自行对采购产品每种规格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监管网站公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3、质量标准：合格，符合国家现行有关标准、相关行业规范及采购人要求，由采购人负责验收，宜兴市市场监督管理局将履行监督职能</w:t>
      </w:r>
    </w:p>
    <w:p>
      <w:pPr>
        <w:pStyle w:val="521"/>
        <w:snapToGrid w:val="0"/>
        <w:spacing w:line="400" w:lineRule="exact"/>
        <w:ind w:firstLine="490"/>
        <w:rPr>
          <w:rFonts w:hint="eastAsia" w:ascii="宋体" w:hAnsi="宋体" w:eastAsia="宋体" w:cs="宋体"/>
          <w:b w:val="0"/>
          <w:sz w:val="24"/>
          <w:u w:val="single"/>
        </w:rPr>
      </w:pPr>
      <w:r>
        <w:rPr>
          <w:rFonts w:hint="eastAsia" w:ascii="宋体" w:hAnsi="宋体" w:eastAsia="宋体"/>
          <w:b w:val="0"/>
          <w:sz w:val="24"/>
        </w:rPr>
        <w:t>4、验收时间及标准：合格，符合国家现行有关标准、相关行业规范及采购人要求，由采购人负责验收，宜兴市市场监督管理局将履行监督职能</w:t>
      </w:r>
      <w:r>
        <w:rPr>
          <w:rFonts w:hint="eastAsia" w:ascii="宋体" w:hAnsi="宋体" w:eastAsia="宋体" w:cs="宋体"/>
          <w:b w:val="0"/>
          <w:sz w:val="24"/>
          <w:u w:val="single"/>
        </w:rPr>
        <w:t>（货到现场一周内完成现场验收，现场验收仅指对成交货物的外观质量、数量进行验收）。</w:t>
      </w:r>
    </w:p>
    <w:p>
      <w:pPr>
        <w:pStyle w:val="521"/>
        <w:snapToGrid w:val="0"/>
        <w:spacing w:line="400" w:lineRule="exact"/>
        <w:ind w:firstLine="490"/>
        <w:rPr>
          <w:rFonts w:hint="eastAsia" w:ascii="宋体" w:hAnsi="宋体" w:eastAsia="宋体"/>
          <w:b w:val="0"/>
          <w:sz w:val="24"/>
          <w:u w:val="single"/>
        </w:rPr>
      </w:pPr>
      <w:r>
        <w:rPr>
          <w:rFonts w:hint="eastAsia" w:ascii="宋体" w:hAnsi="宋体" w:eastAsia="宋体"/>
          <w:b w:val="0"/>
          <w:sz w:val="24"/>
        </w:rPr>
        <w:t>五、供货要求：</w:t>
      </w:r>
      <w:r>
        <w:rPr>
          <w:rFonts w:ascii="宋体" w:hAnsi="宋体" w:eastAsia="宋体"/>
          <w:b w:val="0"/>
          <w:sz w:val="24"/>
          <w:u w:val="single"/>
        </w:rPr>
        <w:t>分批供货，成交供应商接到采购人的发货通知后7天内发货。在供货期限内，成交供应商必须按照</w:t>
      </w:r>
      <w:r>
        <w:rPr>
          <w:rFonts w:hint="eastAsia" w:ascii="宋体" w:hAnsi="宋体" w:eastAsia="宋体"/>
          <w:b w:val="0"/>
          <w:sz w:val="24"/>
          <w:u w:val="single"/>
        </w:rPr>
        <w:t>采购</w:t>
      </w:r>
      <w:r>
        <w:rPr>
          <w:rFonts w:ascii="宋体" w:hAnsi="宋体" w:eastAsia="宋体"/>
          <w:b w:val="0"/>
          <w:sz w:val="24"/>
          <w:u w:val="single"/>
        </w:rPr>
        <w:t>方的工程进度要求和实际需要数量保证供货的连续性（每次供货数量不定，报价时应考虑到额外不满整车供货所增加的运输费用），如延误交货或中断供货将承担违约责任。</w:t>
      </w:r>
      <w:r>
        <w:rPr>
          <w:rFonts w:hint="eastAsia" w:ascii="宋体" w:hAnsi="宋体" w:eastAsia="宋体"/>
          <w:b w:val="0"/>
          <w:sz w:val="24"/>
          <w:u w:val="single"/>
        </w:rPr>
        <w:t xml:space="preserve"> </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六、交货条件：</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1、交货地点：宜兴水务集团有限公司指定地点。</w:t>
      </w:r>
    </w:p>
    <w:p>
      <w:pPr>
        <w:pStyle w:val="521"/>
        <w:tabs>
          <w:tab w:val="left" w:pos="993"/>
        </w:tabs>
        <w:snapToGrid w:val="0"/>
        <w:spacing w:line="400" w:lineRule="exact"/>
        <w:ind w:firstLine="490"/>
        <w:rPr>
          <w:rFonts w:hint="eastAsia" w:ascii="宋体" w:hAnsi="宋体" w:eastAsia="宋体"/>
          <w:b w:val="0"/>
          <w:sz w:val="24"/>
        </w:rPr>
      </w:pPr>
      <w:r>
        <w:rPr>
          <w:rFonts w:hint="eastAsia" w:ascii="宋体" w:hAnsi="宋体" w:eastAsia="宋体"/>
          <w:b w:val="0"/>
          <w:sz w:val="24"/>
        </w:rPr>
        <w:t>2、设备的外观、包装、运输应按国家规定或部颁标准执行。如因供货商运输不当等原因造成损坏或丢失，应由供货商负责修复或补缺。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3、设备交货时，必须带有产品质量检验合格证书、质保单、装箱单、产品安装使用说明书，并保持出厂原有包装。</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4、运输及到货地点：由供货商负责办理运输，并承担费用直接送到采购人指定地点。</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5、供货商发货时应先用函、电通告采购人。</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七、安装调试及售后服务：</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1、在规定保修期内，如出现质量问题，供货商收到采购人函、电后应在30分钟内响应并解决问题。</w:t>
      </w:r>
      <w:r>
        <w:rPr>
          <w:rFonts w:hint="eastAsia" w:ascii="宋体" w:hAnsi="宋体" w:eastAsia="宋体"/>
          <w:b w:val="0"/>
          <w:sz w:val="24"/>
        </w:rPr>
        <w:br w:type="textWrapping"/>
      </w:r>
      <w:r>
        <w:rPr>
          <w:rFonts w:hint="eastAsia" w:ascii="宋体" w:hAnsi="宋体" w:eastAsia="宋体"/>
          <w:b w:val="0"/>
          <w:sz w:val="24"/>
        </w:rPr>
        <w:t xml:space="preserve">    2、采购人应向供货商现场调试技术人员及维修人员提供应商便条件，有关费用由供货商负责。</w:t>
      </w:r>
      <w:r>
        <w:rPr>
          <w:rFonts w:hint="eastAsia" w:ascii="宋体" w:hAnsi="宋体" w:eastAsia="宋体"/>
          <w:b w:val="0"/>
          <w:sz w:val="24"/>
        </w:rPr>
        <w:br w:type="textWrapping"/>
      </w:r>
      <w:r>
        <w:rPr>
          <w:rFonts w:hint="eastAsia" w:ascii="宋体" w:hAnsi="宋体" w:eastAsia="宋体"/>
          <w:b w:val="0"/>
          <w:sz w:val="24"/>
        </w:rPr>
        <w:t xml:space="preserve">    3、采购人如邀请供货商提供非质量问题的其它技术服务，其费用另定。</w:t>
      </w:r>
      <w:r>
        <w:rPr>
          <w:rFonts w:hint="eastAsia" w:ascii="宋体" w:hAnsi="宋体" w:eastAsia="宋体"/>
          <w:b w:val="0"/>
          <w:sz w:val="24"/>
        </w:rPr>
        <w:br w:type="textWrapping"/>
      </w:r>
      <w:r>
        <w:rPr>
          <w:rFonts w:hint="eastAsia" w:ascii="宋体" w:hAnsi="宋体" w:eastAsia="宋体"/>
          <w:b w:val="0"/>
          <w:sz w:val="24"/>
        </w:rPr>
        <w:t xml:space="preserve">    4、供货商对其供应的设备提供的质保按国家有关规定执行。</w:t>
      </w:r>
      <w:r>
        <w:rPr>
          <w:rFonts w:hint="eastAsia" w:ascii="宋体" w:hAnsi="宋体" w:eastAsia="宋体"/>
          <w:b w:val="0"/>
          <w:sz w:val="24"/>
        </w:rPr>
        <w:br w:type="textWrapping"/>
      </w:r>
      <w:r>
        <w:rPr>
          <w:rFonts w:hint="eastAsia" w:ascii="宋体" w:hAnsi="宋体" w:eastAsia="宋体"/>
          <w:b w:val="0"/>
          <w:sz w:val="24"/>
        </w:rPr>
        <w:t xml:space="preserve">    5、供货商的成交产品需提供一年的免费质保，自验收合格之日起进入质保期（具体免费质保时间，按响应文件承诺），免费质保期过后，成交供应商必须按出厂价提供配件。</w:t>
      </w:r>
      <w:r>
        <w:rPr>
          <w:rFonts w:hint="eastAsia" w:ascii="宋体" w:hAnsi="宋体" w:eastAsia="宋体"/>
          <w:b w:val="0"/>
          <w:sz w:val="24"/>
        </w:rPr>
        <w:br w:type="textWrapping"/>
      </w:r>
      <w:r>
        <w:rPr>
          <w:rFonts w:hint="eastAsia" w:ascii="宋体" w:hAnsi="宋体" w:eastAsia="宋体"/>
          <w:b w:val="0"/>
          <w:sz w:val="24"/>
        </w:rPr>
        <w:t xml:space="preserve">     在保证期内因设备本身及安装的质量问题发生故障，乙方应负责免费修理和更换零部件。对达不到使用要求者，经双方协商，可按以下办法处理：</w:t>
      </w:r>
      <w:r>
        <w:rPr>
          <w:rFonts w:hint="eastAsia" w:ascii="宋体" w:hAnsi="宋体" w:eastAsia="宋体"/>
          <w:b w:val="0"/>
          <w:sz w:val="24"/>
        </w:rPr>
        <w:br w:type="textWrapping"/>
      </w:r>
      <w:r>
        <w:rPr>
          <w:rFonts w:hint="eastAsia" w:ascii="宋体" w:hAnsi="宋体" w:eastAsia="宋体"/>
          <w:b w:val="0"/>
          <w:sz w:val="24"/>
        </w:rPr>
        <w:t>（1）退货处理</w:t>
      </w:r>
      <w:r>
        <w:rPr>
          <w:rFonts w:hint="eastAsia" w:ascii="宋体" w:hAnsi="宋体" w:eastAsia="宋体"/>
          <w:b w:val="0"/>
          <w:sz w:val="24"/>
        </w:rPr>
        <w:br w:type="textWrapping"/>
      </w:r>
      <w:r>
        <w:rPr>
          <w:rFonts w:hint="eastAsia" w:ascii="宋体" w:hAnsi="宋体" w:eastAsia="宋体"/>
          <w:b w:val="0"/>
          <w:sz w:val="24"/>
        </w:rPr>
        <w:t>（2）更换设备，由乙方承担由此所发生的所有费用。</w:t>
      </w:r>
      <w:r>
        <w:rPr>
          <w:rFonts w:hint="eastAsia" w:ascii="宋体" w:hAnsi="宋体" w:eastAsia="宋体"/>
          <w:b w:val="0"/>
          <w:sz w:val="24"/>
        </w:rPr>
        <w:br w:type="textWrapping"/>
      </w:r>
      <w:r>
        <w:rPr>
          <w:rFonts w:hint="eastAsia" w:ascii="宋体" w:hAnsi="宋体" w:eastAsia="宋体"/>
          <w:b w:val="0"/>
          <w:sz w:val="24"/>
        </w:rPr>
        <w:t>（3）贬值处理</w:t>
      </w:r>
      <w:r>
        <w:rPr>
          <w:rFonts w:hint="eastAsia" w:ascii="宋体" w:hAnsi="宋体" w:eastAsia="宋体"/>
          <w:b w:val="0"/>
          <w:sz w:val="24"/>
        </w:rPr>
        <w:br w:type="textWrapping"/>
      </w:r>
      <w:r>
        <w:rPr>
          <w:rFonts w:hint="eastAsia" w:ascii="宋体" w:hAnsi="宋体" w:eastAsia="宋体"/>
          <w:b w:val="0"/>
          <w:sz w:val="24"/>
        </w:rPr>
        <w:t xml:space="preserve">     6、产品的免费质保期为自安装施工结束、通过工程初验、通水运行满一个月之日起一周年。由采购人负责验收，宜兴市质监局将履行抽样监督检验职能。</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八、违约责任：</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如供货商逾期交货，除不可抗力外，成交供应商向采购人就逾期交货部分支付违约金，具体支付比例如下：</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迟交1～3天，每天违约金金额为逾期交货部分总价款的千分之三；</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迟交3～7天，每天违约金金额为逾期交货部分总价款的千分之五；</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 xml:space="preserve">迟交7～15天，每天违约金金额为逾期交货部分总价款的千分之八，如因此严重延误施工工期的，则视为成交供应商不履行合同。 </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成交供应商逾期交货超过15天以上的视为供应商不履行合同。采购人有权随时解除合同，成交供应商支付迟交违约金，并扣除相应的履约保证金。</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如成交供应商不按照采购人要求将合同货物送达采购人指定地点的，每次支付违约金为逾期交货部分总价款的千分之八。情节严重的按违约处理。</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九、合同生效及其它：</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1、成交供应商不履行合同或履行合同不符合约定的，采购人有权随时解除合同，并对成交供应商扣除相应的违约金及履约保证金，如果采购人因此造成的实际损失超过约定的违约金及履约保证金，则成交供应商的赔偿额应以采购人的实际损失为准。</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2、合同经供需双方代表签字并加盖公章（或合同章），且见证部门盖章后即生效。</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3、合同签订后供需双方即直接产生权利与义务的关系，合同执行过程中出现的问题应按照《中华人民共和国民法典》的规定办理，在合同履行过程中，双方如有争议，先由采购人协调解决，如协调解决不成，则可向采购人所在地（宜兴）法院起诉。</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4、合同在执行过程中出现的未尽事宜，在不违背本合同和询价通知书的原则下协议解决，协商结果必须报见证方同意后以书面形式盖章记录在案，作为合同的附件，与本合同具有同等效力。</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5、供应商报价前应自行勘查安装和使用现场，充分考虑完成本项目的一切费用，在结算时以响应报价为准，不作调整。</w:t>
      </w:r>
    </w:p>
    <w:p>
      <w:pPr>
        <w:pStyle w:val="521"/>
        <w:snapToGrid w:val="0"/>
        <w:spacing w:line="400" w:lineRule="exact"/>
        <w:ind w:firstLine="490"/>
        <w:rPr>
          <w:rFonts w:hint="eastAsia" w:ascii="宋体" w:hAnsi="宋体" w:eastAsia="宋体" w:cs="宋体"/>
          <w:b w:val="0"/>
          <w:sz w:val="24"/>
        </w:rPr>
      </w:pPr>
      <w:r>
        <w:rPr>
          <w:rFonts w:hint="eastAsia" w:ascii="宋体" w:hAnsi="宋体" w:eastAsia="宋体" w:cs="宋体"/>
          <w:b w:val="0"/>
          <w:sz w:val="24"/>
        </w:rPr>
        <w:t>6、供货期内如遇产品平滑（自然）升级，供应商应提供平滑升级商品不补差价（询价通知书中有特殊要求的除外）</w:t>
      </w:r>
    </w:p>
    <w:p>
      <w:pPr>
        <w:pStyle w:val="521"/>
        <w:snapToGrid w:val="0"/>
        <w:spacing w:line="400" w:lineRule="exact"/>
        <w:ind w:firstLine="490"/>
        <w:rPr>
          <w:rFonts w:hint="eastAsia" w:ascii="宋体" w:hAnsi="宋体" w:eastAsia="宋体"/>
          <w:b w:val="0"/>
          <w:sz w:val="24"/>
        </w:rPr>
      </w:pPr>
      <w:r>
        <w:rPr>
          <w:rFonts w:hint="eastAsia" w:ascii="宋体" w:hAnsi="宋体" w:eastAsia="宋体" w:cs="宋体"/>
          <w:b w:val="0"/>
          <w:sz w:val="24"/>
        </w:rPr>
        <w:t>7、</w:t>
      </w:r>
      <w:r>
        <w:rPr>
          <w:rFonts w:hint="eastAsia" w:ascii="宋体" w:hAnsi="宋体" w:eastAsia="宋体"/>
          <w:b w:val="0"/>
          <w:sz w:val="24"/>
        </w:rPr>
        <w:t>其它未尽事宜，合同双方签定附属协议。</w:t>
      </w:r>
    </w:p>
    <w:p>
      <w:pPr>
        <w:pStyle w:val="521"/>
        <w:snapToGrid w:val="0"/>
        <w:spacing w:line="400" w:lineRule="exact"/>
        <w:ind w:firstLine="490"/>
        <w:rPr>
          <w:rFonts w:hint="eastAsia" w:ascii="宋体" w:hAnsi="宋体" w:eastAsia="宋体"/>
          <w:b w:val="0"/>
          <w:sz w:val="24"/>
        </w:rPr>
      </w:pPr>
      <w:r>
        <w:rPr>
          <w:rFonts w:hint="eastAsia" w:ascii="宋体" w:hAnsi="宋体" w:eastAsia="宋体"/>
          <w:b w:val="0"/>
          <w:sz w:val="24"/>
        </w:rPr>
        <w:t>8、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调价机制规则为准。</w:t>
      </w:r>
    </w:p>
    <w:p>
      <w:pPr>
        <w:spacing w:line="360" w:lineRule="auto"/>
        <w:jc w:val="center"/>
      </w:pPr>
      <w:r>
        <w:t xml:space="preserve"> </w:t>
      </w: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rPr>
          <w:rFonts w:hint="eastAsia"/>
        </w:rPr>
      </w:pPr>
    </w:p>
    <w:p>
      <w:pPr>
        <w:pStyle w:val="2"/>
        <w:ind w:firstLine="0" w:firstLineChars="0"/>
      </w:pPr>
    </w:p>
    <w:p>
      <w:pPr>
        <w:spacing w:line="360" w:lineRule="auto"/>
        <w:jc w:val="center"/>
        <w:outlineLvl w:val="0"/>
        <w:rPr>
          <w:rFonts w:ascii="黑体" w:hAnsi="黑体" w:eastAsia="黑体"/>
          <w:sz w:val="28"/>
        </w:rPr>
      </w:pPr>
      <w:bookmarkStart w:id="79"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ascii="宋体" w:hAnsi="宋体"/>
          <w:b/>
          <w:sz w:val="32"/>
          <w:szCs w:val="32"/>
        </w:rPr>
      </w:pPr>
      <w:bookmarkStart w:id="81" w:name="_Toc2400"/>
      <w:r>
        <w:rPr>
          <w:rFonts w:hint="eastAsia" w:ascii="宋体" w:hAnsi="宋体"/>
          <w:b/>
          <w:sz w:val="32"/>
          <w:szCs w:val="32"/>
        </w:rPr>
        <w:t>项目编号：</w:t>
      </w:r>
      <w:bookmarkEnd w:id="81"/>
      <w:r>
        <w:t>YXGYJT202201003</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82" w:name="_Toc10010"/>
      <w:r>
        <w:rPr>
          <w:rFonts w:hint="eastAsia" w:ascii="宋体" w:hAnsi="宋体"/>
          <w:b/>
          <w:sz w:val="32"/>
          <w:szCs w:val="32"/>
        </w:rPr>
        <w:t>项目名称：</w:t>
      </w:r>
      <w:bookmarkEnd w:id="82"/>
      <w:bookmarkStart w:id="83" w:name="_Toc8670"/>
      <w:r>
        <w:rPr>
          <w:rFonts w:hint="eastAsia" w:ascii="宋体" w:hAnsi="宋体"/>
          <w:b/>
          <w:sz w:val="32"/>
          <w:szCs w:val="32"/>
          <w:u w:val="single"/>
        </w:rPr>
        <w:t>宜兴水务集团有限公司无缝钢管、螺旋缝埋弧焊钢管采购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p>
    <w:p>
      <w:pPr>
        <w:rPr>
          <w:rFonts w:ascii="宋体"/>
          <w:b/>
          <w:bCs/>
          <w:sz w:val="24"/>
          <w:szCs w:val="24"/>
        </w:rPr>
      </w:pPr>
      <w:bookmarkStart w:id="86" w:name="_Toc24602"/>
      <w:r>
        <w:rPr>
          <w:rFonts w:hint="eastAsia" w:ascii="黑体" w:hAnsi="宋体" w:eastAsia="黑体"/>
          <w:bCs/>
          <w:sz w:val="24"/>
          <w:szCs w:val="24"/>
        </w:rPr>
        <w:br w:type="page"/>
      </w:r>
      <w:bookmarkStart w:id="87" w:name="OLE_LINK24"/>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8" w:name="OLE_LINK185"/>
      <w:r>
        <w:rPr>
          <w:rFonts w:hint="eastAsia" w:ascii="宋体" w:hAnsi="宋体"/>
          <w:bCs/>
          <w:sz w:val="24"/>
          <w:lang w:val="zh-CN"/>
        </w:rPr>
        <w:t xml:space="preserve">    致</w:t>
      </w:r>
      <w:bookmarkEnd w:id="88"/>
      <w:r>
        <w:rPr>
          <w:rFonts w:hint="eastAsia" w:ascii="宋体" w:hAnsi="宋体"/>
          <w:bCs/>
          <w:sz w:val="24"/>
          <w:lang w:val="zh-CN"/>
        </w:rPr>
        <w:t>宜兴水务集团有限公司：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w:t>
      </w:r>
      <w:r>
        <w:rPr>
          <w:rFonts w:hint="eastAsia" w:ascii="宋体" w:hAnsi="宋体"/>
          <w:bCs/>
          <w:sz w:val="24"/>
          <w:szCs w:val="22"/>
          <w:u w:val="single"/>
          <w:lang w:val="zh-CN"/>
        </w:rPr>
        <w:t>无缝钢管、螺旋缝埋弧焊钢管采购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8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0" w:name="OLE_LINK34"/>
      <w:bookmarkStart w:id="91"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2" w:name="OLE_LINK28"/>
      <w:r>
        <w:rPr>
          <w:rFonts w:hint="eastAsia" w:ascii="宋体" w:hAnsi="宋体"/>
          <w:bCs/>
          <w:sz w:val="24"/>
          <w:lang w:val="zh-CN"/>
        </w:rPr>
        <w:t>投标人公章</w:t>
      </w:r>
      <w:bookmarkEnd w:id="92"/>
      <w:r>
        <w:rPr>
          <w:rFonts w:hint="eastAsia" w:ascii="宋体" w:hAnsi="宋体"/>
          <w:bCs/>
          <w:sz w:val="24"/>
          <w:lang w:val="zh-CN"/>
        </w:rPr>
        <w:t>：</w:t>
      </w:r>
    </w:p>
    <w:bookmarkEnd w:id="90"/>
    <w:bookmarkEnd w:id="91"/>
    <w:p>
      <w:pPr>
        <w:spacing w:line="480" w:lineRule="exact"/>
        <w:rPr>
          <w:rFonts w:ascii="黑体" w:hAnsi="宋体" w:eastAsia="黑体"/>
          <w:bCs/>
          <w:sz w:val="28"/>
          <w:szCs w:val="28"/>
        </w:rPr>
      </w:pPr>
      <w:bookmarkStart w:id="93" w:name="OLE_LINK146"/>
      <w:r>
        <w:rPr>
          <w:rFonts w:ascii="黑体" w:hAnsi="宋体" w:eastAsia="黑体"/>
          <w:bCs/>
          <w:sz w:val="24"/>
          <w:szCs w:val="24"/>
        </w:rPr>
        <w:br w:type="page"/>
      </w:r>
      <w:r>
        <w:rPr>
          <w:rFonts w:hint="eastAsia" w:ascii="黑体" w:hAnsi="宋体" w:eastAsia="黑体"/>
          <w:bCs/>
          <w:sz w:val="28"/>
          <w:szCs w:val="28"/>
        </w:rPr>
        <w:t>（二）报价文件：</w:t>
      </w:r>
      <w:bookmarkEnd w:id="93"/>
    </w:p>
    <w:bookmarkEnd w:id="86"/>
    <w:p>
      <w:pPr>
        <w:spacing w:before="156" w:beforeLines="50" w:after="156" w:afterLines="50"/>
        <w:jc w:val="center"/>
        <w:rPr>
          <w:rFonts w:hint="eastAsia" w:ascii="黑体" w:eastAsia="黑体"/>
          <w:bCs/>
          <w:sz w:val="24"/>
          <w:szCs w:val="24"/>
        </w:rPr>
      </w:pPr>
      <w:bookmarkStart w:id="94" w:name="_Toc32423"/>
      <w:bookmarkStart w:id="95" w:name="OLE_LINK4"/>
      <w:bookmarkStart w:id="96" w:name="OLE_LINK32"/>
      <w:r>
        <w:rPr>
          <w:rFonts w:hint="eastAsia" w:ascii="黑体" w:eastAsia="黑体"/>
          <w:bCs/>
          <w:sz w:val="24"/>
          <w:szCs w:val="24"/>
        </w:rPr>
        <w:t>开标一览表</w:t>
      </w:r>
      <w:bookmarkEnd w:id="94"/>
      <w:bookmarkEnd w:id="95"/>
    </w:p>
    <w:tbl>
      <w:tblPr>
        <w:tblStyle w:val="75"/>
        <w:tblW w:w="47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830"/>
        <w:gridCol w:w="1987"/>
        <w:gridCol w:w="1560"/>
        <w:gridCol w:w="127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99" w:hRule="atLeast"/>
          <w:jc w:val="center"/>
        </w:trPr>
        <w:tc>
          <w:tcPr>
            <w:tcW w:w="46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104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名称</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规格</w:t>
            </w:r>
          </w:p>
        </w:tc>
        <w:tc>
          <w:tcPr>
            <w:tcW w:w="892" w:type="pct"/>
            <w:tcBorders>
              <w:top w:val="single" w:color="auto" w:sz="4" w:space="0"/>
              <w:left w:val="single" w:color="auto" w:sz="4" w:space="0"/>
              <w:bottom w:val="single" w:color="auto" w:sz="4" w:space="0"/>
              <w:right w:val="single" w:color="auto" w:sz="4" w:space="0"/>
            </w:tcBorders>
            <w:noWrap w:val="0"/>
            <w:vAlign w:val="center"/>
          </w:tcPr>
          <w:p>
            <w:pPr>
              <w:widowControl/>
              <w:ind w:firstLine="480"/>
              <w:jc w:val="center"/>
              <w:rPr>
                <w:rFonts w:ascii="仿宋_GB2312" w:hAnsi="仿宋" w:eastAsia="仿宋_GB2312" w:cs="仿宋"/>
                <w:kern w:val="0"/>
                <w:sz w:val="24"/>
              </w:rPr>
            </w:pPr>
            <w:r>
              <w:rPr>
                <w:rFonts w:hint="eastAsia" w:ascii="仿宋_GB2312" w:hAnsi="仿宋" w:eastAsia="仿宋_GB2312" w:cs="仿宋"/>
                <w:kern w:val="0"/>
                <w:sz w:val="24"/>
              </w:rPr>
              <w:t>数量（米）</w:t>
            </w:r>
          </w:p>
        </w:tc>
        <w:tc>
          <w:tcPr>
            <w:tcW w:w="72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ascii="仿宋_GB2312" w:hAnsi="仿宋" w:eastAsia="仿宋_GB2312" w:cs="仿宋"/>
                <w:kern w:val="0"/>
                <w:sz w:val="24"/>
              </w:rPr>
              <w:t>单价</w:t>
            </w:r>
          </w:p>
        </w:tc>
        <w:tc>
          <w:tcPr>
            <w:tcW w:w="72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ascii="仿宋_GB2312" w:hAnsi="仿宋" w:eastAsia="仿宋_GB2312" w:cs="仿宋"/>
                <w:kern w:val="0"/>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2" w:hRule="atLeast"/>
          <w:jc w:val="center"/>
        </w:trPr>
        <w:tc>
          <w:tcPr>
            <w:tcW w:w="469"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1</w:t>
            </w:r>
          </w:p>
        </w:tc>
        <w:tc>
          <w:tcPr>
            <w:tcW w:w="1046" w:type="pct"/>
            <w:vMerge w:val="restart"/>
            <w:tcBorders>
              <w:left w:val="single" w:color="auto" w:sz="4" w:space="0"/>
              <w:right w:val="single" w:color="auto" w:sz="4" w:space="0"/>
            </w:tcBorders>
            <w:noWrap w:val="0"/>
            <w:vAlign w:val="center"/>
          </w:tcPr>
          <w:p>
            <w:pPr>
              <w:ind w:firstLine="480"/>
              <w:rPr>
                <w:rFonts w:ascii="仿宋_GB2312" w:hAnsi="仿宋" w:eastAsia="仿宋_GB2312" w:cs="仿宋"/>
                <w:kern w:val="0"/>
                <w:sz w:val="24"/>
              </w:rPr>
            </w:pPr>
            <w:r>
              <w:rPr>
                <w:rFonts w:hint="eastAsia" w:ascii="仿宋_GB2312" w:hAnsi="仿宋" w:eastAsia="仿宋_GB2312" w:cs="仿宋"/>
                <w:kern w:val="0"/>
                <w:sz w:val="24"/>
              </w:rPr>
              <w:t>无缝钢管</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108</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1200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41" w:hRule="atLeast"/>
          <w:jc w:val="center"/>
        </w:trPr>
        <w:tc>
          <w:tcPr>
            <w:tcW w:w="469" w:type="pct"/>
            <w:tcBorders>
              <w:top w:val="single" w:color="auto" w:sz="4" w:space="0"/>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2</w:t>
            </w:r>
          </w:p>
        </w:tc>
        <w:tc>
          <w:tcPr>
            <w:tcW w:w="1046" w:type="pct"/>
            <w:vMerge w:val="continue"/>
            <w:tcBorders>
              <w:left w:val="single" w:color="auto" w:sz="4" w:space="0"/>
              <w:bottom w:val="single" w:color="auto" w:sz="4" w:space="0"/>
              <w:right w:val="single" w:color="auto" w:sz="4" w:space="0"/>
            </w:tcBorders>
            <w:noWrap w:val="0"/>
            <w:vAlign w:val="center"/>
          </w:tcPr>
          <w:p>
            <w:pPr>
              <w:ind w:firstLine="480"/>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kern w:val="0"/>
                <w:sz w:val="24"/>
              </w:rPr>
              <w:t xml:space="preserve"> 159</w:t>
            </w:r>
            <w:r>
              <w:rPr>
                <w:rFonts w:hint="eastAsia" w:ascii="仿宋_GB2312" w:hAnsi="仿宋" w:eastAsia="仿宋_GB2312" w:cs="仿宋"/>
                <w:sz w:val="24"/>
              </w:rPr>
              <w:t>×</w:t>
            </w:r>
            <w:r>
              <w:rPr>
                <w:rFonts w:hint="eastAsia" w:ascii="仿宋_GB2312" w:hAnsi="仿宋" w:eastAsia="仿宋_GB2312" w:cs="仿宋"/>
                <w:kern w:val="0"/>
                <w:sz w:val="24"/>
              </w:rPr>
              <w:t>6</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r>
              <w:rPr>
                <w:rFonts w:hint="eastAsia" w:ascii="仿宋_GB2312" w:hAnsi="仿宋" w:eastAsia="仿宋_GB2312"/>
                <w:color w:val="000000"/>
                <w:sz w:val="24"/>
              </w:rPr>
              <w:t>360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5" w:hRule="atLeast"/>
          <w:jc w:val="center"/>
        </w:trPr>
        <w:tc>
          <w:tcPr>
            <w:tcW w:w="469"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3</w:t>
            </w:r>
          </w:p>
        </w:tc>
        <w:tc>
          <w:tcPr>
            <w:tcW w:w="1046" w:type="pct"/>
            <w:vMerge w:val="restart"/>
            <w:tcBorders>
              <w:top w:val="single" w:color="auto" w:sz="4" w:space="0"/>
              <w:left w:val="single" w:color="auto" w:sz="4" w:space="0"/>
              <w:right w:val="single" w:color="auto" w:sz="4" w:space="0"/>
            </w:tcBorders>
            <w:noWrap w:val="0"/>
            <w:vAlign w:val="center"/>
          </w:tcPr>
          <w:p>
            <w:pPr>
              <w:widowControl/>
              <w:jc w:val="center"/>
              <w:rPr>
                <w:rFonts w:ascii="仿宋_GB2312" w:hAnsi="仿宋" w:eastAsia="仿宋_GB2312" w:cs="仿宋"/>
                <w:kern w:val="0"/>
                <w:sz w:val="24"/>
              </w:rPr>
            </w:pPr>
            <w:r>
              <w:rPr>
                <w:rFonts w:hint="eastAsia" w:ascii="仿宋_GB2312" w:hAnsi="仿宋" w:eastAsia="仿宋_GB2312" w:cs="仿宋"/>
                <w:kern w:val="0"/>
                <w:sz w:val="24"/>
              </w:rPr>
              <w:t>螺旋钢管</w:t>
            </w: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仿宋"/>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219×8</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200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7" w:hRule="atLeast"/>
          <w:jc w:val="center"/>
        </w:trPr>
        <w:tc>
          <w:tcPr>
            <w:tcW w:w="469" w:type="pct"/>
            <w:tcBorders>
              <w:left w:val="single" w:color="auto" w:sz="4" w:space="0"/>
              <w:right w:val="single" w:color="auto" w:sz="4" w:space="0"/>
            </w:tcBorders>
            <w:noWrap w:val="0"/>
            <w:vAlign w:val="center"/>
          </w:tcPr>
          <w:p>
            <w:pPr>
              <w:jc w:val="center"/>
              <w:rPr>
                <w:rFonts w:ascii="仿宋_GB2312" w:hAnsi="仿宋" w:eastAsia="仿宋_GB2312" w:cs="仿宋"/>
                <w:kern w:val="0"/>
                <w:sz w:val="24"/>
              </w:rPr>
            </w:pPr>
            <w:r>
              <w:rPr>
                <w:rFonts w:hint="eastAsia" w:ascii="仿宋_GB2312" w:hAnsi="仿宋" w:eastAsia="仿宋_GB2312" w:cs="仿宋"/>
                <w:kern w:val="0"/>
                <w:sz w:val="24"/>
              </w:rPr>
              <w:t>4</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仿宋_GB2312" w:cs="宋体"/>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325×10</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r>
              <w:rPr>
                <w:rFonts w:hint="eastAsia" w:ascii="仿宋_GB2312" w:hAnsi="仿宋" w:eastAsia="仿宋_GB2312" w:cs="宋体"/>
                <w:color w:val="000000"/>
                <w:sz w:val="24"/>
              </w:rPr>
              <w:t>120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97" w:hRule="atLeast"/>
          <w:jc w:val="center"/>
        </w:trPr>
        <w:tc>
          <w:tcPr>
            <w:tcW w:w="469"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5</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426*10</w:t>
            </w:r>
          </w:p>
        </w:tc>
        <w:tc>
          <w:tcPr>
            <w:tcW w:w="892"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c>
          <w:tcPr>
            <w:tcW w:w="729"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c>
          <w:tcPr>
            <w:tcW w:w="729" w:type="pct"/>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469" w:type="pct"/>
            <w:tcBorders>
              <w:left w:val="single" w:color="auto" w:sz="4" w:space="0"/>
              <w:right w:val="single" w:color="auto" w:sz="4" w:space="0"/>
            </w:tcBorders>
            <w:noWrap w:val="0"/>
            <w:vAlign w:val="center"/>
          </w:tcPr>
          <w:p>
            <w:pPr>
              <w:jc w:val="center"/>
              <w:rPr>
                <w:rFonts w:hint="eastAsia" w:ascii="仿宋_GB2312" w:hAnsi="仿宋" w:eastAsia="仿宋_GB2312" w:cs="仿宋"/>
                <w:kern w:val="0"/>
                <w:sz w:val="24"/>
              </w:rPr>
            </w:pPr>
            <w:r>
              <w:rPr>
                <w:rFonts w:hint="eastAsia" w:ascii="仿宋_GB2312" w:hAnsi="仿宋" w:eastAsia="仿宋_GB2312" w:cs="仿宋"/>
                <w:kern w:val="0"/>
                <w:sz w:val="24"/>
              </w:rPr>
              <w:t>6</w:t>
            </w:r>
          </w:p>
        </w:tc>
        <w:tc>
          <w:tcPr>
            <w:tcW w:w="1046" w:type="pct"/>
            <w:vMerge w:val="continue"/>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p>
        </w:tc>
        <w:tc>
          <w:tcPr>
            <w:tcW w:w="11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仿宋_GB2312" w:cs="宋体"/>
                <w:kern w:val="0"/>
                <w:sz w:val="24"/>
              </w:rPr>
            </w:pPr>
            <w:r>
              <w:rPr>
                <w:rFonts w:hint="eastAsia" w:ascii="宋体" w:hAnsi="宋体" w:eastAsia="仿宋_GB2312" w:cs="宋体"/>
                <w:kern w:val="0"/>
                <w:sz w:val="24"/>
              </w:rPr>
              <w:t>ø</w:t>
            </w:r>
            <w:r>
              <w:rPr>
                <w:rFonts w:hint="eastAsia" w:ascii="仿宋_GB2312" w:hAnsi="仿宋" w:eastAsia="仿宋_GB2312" w:cs="仿宋"/>
                <w:sz w:val="24"/>
              </w:rPr>
              <w:t xml:space="preserve"> 820×12</w:t>
            </w:r>
          </w:p>
        </w:tc>
        <w:tc>
          <w:tcPr>
            <w:tcW w:w="89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r>
              <w:rPr>
                <w:rFonts w:hint="eastAsia" w:ascii="仿宋_GB2312" w:hAnsi="仿宋" w:eastAsia="仿宋_GB2312" w:cs="宋体"/>
                <w:color w:val="000000"/>
                <w:sz w:val="24"/>
              </w:rPr>
              <w:t>60</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34" w:hRule="atLeast"/>
          <w:jc w:val="center"/>
        </w:trPr>
        <w:tc>
          <w:tcPr>
            <w:tcW w:w="1514" w:type="pct"/>
            <w:gridSpan w:val="2"/>
            <w:tcBorders>
              <w:left w:val="single" w:color="auto" w:sz="4" w:space="0"/>
              <w:right w:val="single" w:color="auto" w:sz="4" w:space="0"/>
            </w:tcBorders>
            <w:noWrap w:val="0"/>
            <w:vAlign w:val="center"/>
          </w:tcPr>
          <w:p>
            <w:pPr>
              <w:ind w:firstLine="480"/>
              <w:jc w:val="center"/>
              <w:rPr>
                <w:rFonts w:ascii="仿宋_GB2312" w:hAnsi="仿宋" w:eastAsia="仿宋_GB2312" w:cs="仿宋"/>
                <w:kern w:val="0"/>
                <w:sz w:val="24"/>
              </w:rPr>
            </w:pPr>
            <w:r>
              <w:rPr>
                <w:rFonts w:ascii="仿宋_GB2312" w:hAnsi="仿宋" w:eastAsia="仿宋_GB2312" w:cs="仿宋"/>
                <w:kern w:val="0"/>
                <w:sz w:val="24"/>
              </w:rPr>
              <w:t>总计</w:t>
            </w:r>
          </w:p>
        </w:tc>
        <w:tc>
          <w:tcPr>
            <w:tcW w:w="3486" w:type="pct"/>
            <w:gridSpan w:val="4"/>
            <w:tcBorders>
              <w:top w:val="single" w:color="auto" w:sz="4" w:space="0"/>
              <w:left w:val="single" w:color="auto" w:sz="4" w:space="0"/>
              <w:right w:val="single" w:color="auto" w:sz="4" w:space="0"/>
            </w:tcBorders>
            <w:noWrap w:val="0"/>
            <w:vAlign w:val="center"/>
          </w:tcPr>
          <w:p>
            <w:pPr>
              <w:jc w:val="center"/>
              <w:rPr>
                <w:rFonts w:hint="eastAsia" w:ascii="仿宋_GB2312" w:hAnsi="仿宋" w:eastAsia="仿宋_GB2312" w:cs="宋体"/>
                <w:color w:val="000000"/>
                <w:sz w:val="24"/>
              </w:rPr>
            </w:pPr>
          </w:p>
        </w:tc>
      </w:tr>
    </w:tbl>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注：1、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六个月）内，最终结算以单价为准。</w:t>
      </w:r>
    </w:p>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2、报价应包含货物设计、制造、包装、仓储、运输装缷、保险、指导安装、调试及其材料及验收合格之前保管及保修期内备品备件、专用工具、伴随服务、技术图纸资料、人员培训发生的所有含税费用、支付给员工的工资和国家强制缴纳的各种社会保障资金，以及供应商认为需要的其他费用等；</w:t>
      </w:r>
    </w:p>
    <w:p>
      <w:pPr>
        <w:spacing w:line="360" w:lineRule="auto"/>
        <w:ind w:firstLine="482" w:firstLineChars="200"/>
        <w:rPr>
          <w:rFonts w:hint="eastAsia" w:ascii="仿宋_GB2312" w:eastAsia="仿宋_GB2312"/>
          <w:b/>
          <w:color w:val="FF0000"/>
          <w:sz w:val="24"/>
        </w:rPr>
      </w:pPr>
      <w:r>
        <w:rPr>
          <w:rFonts w:hint="eastAsia" w:ascii="仿宋_GB2312" w:eastAsia="仿宋_GB2312"/>
          <w:b/>
          <w:color w:val="FF0000"/>
          <w:sz w:val="24"/>
        </w:rPr>
        <w:t>3、响应文件应对《报价一览表》中的全部项目进行报价，只投其中部分项目者，报价无效。</w:t>
      </w:r>
    </w:p>
    <w:p>
      <w:pPr>
        <w:spacing w:before="156" w:beforeLines="50" w:after="156" w:afterLines="50"/>
        <w:rPr>
          <w:rFonts w:hint="eastAsia" w:ascii="黑体" w:eastAsia="黑体"/>
          <w:bCs/>
          <w:sz w:val="24"/>
          <w:szCs w:val="24"/>
        </w:rPr>
      </w:pPr>
    </w:p>
    <w:p>
      <w:pPr>
        <w:rPr>
          <w:rFonts w:ascii="宋体" w:hAnsi="宋体"/>
          <w:bCs/>
          <w:sz w:val="28"/>
          <w:lang w:val="zh-CN"/>
        </w:rPr>
      </w:pPr>
    </w:p>
    <w:p>
      <w:pPr>
        <w:ind w:left="1"/>
        <w:jc w:val="center"/>
        <w:rPr>
          <w:rFonts w:ascii="宋体" w:hAnsi="宋体"/>
          <w:bCs/>
          <w:sz w:val="28"/>
        </w:rPr>
      </w:pPr>
      <w:r>
        <w:rPr>
          <w:rFonts w:hint="eastAsia" w:ascii="宋体" w:hAnsi="宋体"/>
          <w:bCs/>
          <w:sz w:val="28"/>
          <w:lang w:val="zh-CN"/>
        </w:rPr>
        <w:t xml:space="preserve">投标人签名：                                       </w:t>
      </w:r>
      <w:r>
        <w:rPr>
          <w:rFonts w:hint="eastAsia" w:ascii="宋体" w:hAnsi="宋体"/>
          <w:sz w:val="28"/>
          <w:szCs w:val="24"/>
        </w:rPr>
        <w:t>日期：</w:t>
      </w:r>
      <w:bookmarkEnd w:id="96"/>
      <w:bookmarkStart w:id="97" w:name="OLE_LINK147"/>
    </w:p>
    <w:bookmarkEnd w:id="97"/>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ascii="宋体" w:hAnsi="宋体"/>
          <w:szCs w:val="21"/>
          <w:lang w:val="zh-CN"/>
        </w:rPr>
      </w:pPr>
    </w:p>
    <w:p>
      <w:pPr>
        <w:rPr>
          <w:rFonts w:ascii="黑体" w:hAnsi="宋体" w:eastAsia="黑体"/>
          <w:bCs/>
          <w:sz w:val="28"/>
          <w:szCs w:val="28"/>
        </w:rPr>
      </w:pPr>
      <w:bookmarkStart w:id="98" w:name="OLE_LINK151"/>
      <w:bookmarkStart w:id="99" w:name="_Toc8000"/>
      <w:r>
        <w:rPr>
          <w:rFonts w:hint="eastAsia" w:ascii="黑体" w:hAnsi="宋体" w:eastAsia="黑体"/>
          <w:bCs/>
          <w:sz w:val="28"/>
          <w:szCs w:val="28"/>
        </w:rPr>
        <w:t>（三）资格证明文件</w:t>
      </w:r>
      <w:bookmarkEnd w:id="9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YXGYJT202201003</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t>YXGYJT202201003</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YXGYJT202201003</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9"/>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YXGYJT202201003</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hint="eastAsia" w:ascii="宋体" w:hAnsi="宋体"/>
          <w:bCs/>
          <w:sz w:val="24"/>
          <w:szCs w:val="24"/>
          <w:lang w:val="zh-CN"/>
        </w:rPr>
        <w:t>；</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bCs/>
          <w:sz w:val="24"/>
          <w:szCs w:val="24"/>
        </w:rPr>
        <w:t>供应商法定代表人授权委托书及被授权代表的身份证复印件（法定代表人亲自参加的除外）；(</w:t>
      </w:r>
      <w:r>
        <w:rPr>
          <w:rFonts w:hint="eastAsia" w:ascii="宋体" w:hAnsi="宋体"/>
          <w:b/>
          <w:bCs/>
          <w:sz w:val="24"/>
          <w:szCs w:val="24"/>
        </w:rPr>
        <w:t>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供应商为法人或其他组织的提供</w:t>
      </w:r>
      <w:r>
        <w:rPr>
          <w:rFonts w:hint="eastAsia" w:ascii="宋体" w:hAnsi="宋体"/>
          <w:sz w:val="24"/>
          <w:szCs w:val="21"/>
          <w:lang w:val="zh-CN"/>
        </w:rPr>
        <w:t>营业执照或法人（登记）证书复印件，供应商为自然人的提供自然人身份证复印件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供应商依法缴纳近十二个月中任意一个月份税收的相关材料（提供相关主管部门证明或银行代扣证明）复印件；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sz w:val="24"/>
          <w:szCs w:val="24"/>
        </w:rPr>
        <w:t>供应商</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供应商是否具有做钢管内外防腐的能力，以其营业执照经营范围为准，如供应商无做钢管内外防腐的能力，可以自行选择专业防腐企业，在响应文件中明确防腐企业名称，并提供加盖双方企业公章的协议书</w:t>
      </w:r>
      <w:r>
        <w:rPr>
          <w:rFonts w:hint="eastAsia" w:ascii="宋体" w:hAnsi="宋体"/>
          <w:sz w:val="24"/>
          <w:szCs w:val="21"/>
        </w:rPr>
        <w:t>复印件</w:t>
      </w:r>
      <w:r>
        <w:rPr>
          <w:rFonts w:hint="eastAsia" w:ascii="宋体" w:hAnsi="宋体"/>
          <w:sz w:val="24"/>
          <w:szCs w:val="24"/>
          <w:lang w:val="zh-CN"/>
        </w:rPr>
        <w:t>；</w:t>
      </w:r>
      <w:r>
        <w:rPr>
          <w:rFonts w:ascii="宋体" w:hAnsi="宋体"/>
          <w:b/>
          <w:sz w:val="24"/>
          <w:szCs w:val="24"/>
        </w:rPr>
        <w:t>（</w:t>
      </w:r>
      <w:r>
        <w:rPr>
          <w:rFonts w:hint="eastAsia" w:ascii="宋体" w:hAnsi="宋体"/>
          <w:b/>
          <w:sz w:val="24"/>
          <w:szCs w:val="24"/>
        </w:rPr>
        <w:t>提交响应文件时间截止前</w:t>
      </w:r>
      <w:r>
        <w:rPr>
          <w:rFonts w:ascii="宋体" w:hAnsi="宋体"/>
          <w:b/>
          <w:sz w:val="24"/>
          <w:szCs w:val="24"/>
        </w:rPr>
        <w:t>必须提交相应原件或清晰扫描件）</w:t>
      </w:r>
    </w:p>
    <w:p>
      <w:pPr>
        <w:numPr>
          <w:ilvl w:val="0"/>
          <w:numId w:val="15"/>
        </w:numPr>
        <w:tabs>
          <w:tab w:val="left" w:pos="0"/>
          <w:tab w:val="left" w:pos="255"/>
        </w:tabs>
        <w:spacing w:line="360" w:lineRule="auto"/>
        <w:ind w:left="-116" w:firstLine="480" w:firstLineChars="200"/>
        <w:rPr>
          <w:rFonts w:hint="eastAsia" w:ascii="宋体" w:hAnsi="宋体"/>
          <w:bCs/>
          <w:sz w:val="24"/>
          <w:szCs w:val="24"/>
          <w:lang w:val="zh-CN"/>
        </w:rPr>
      </w:pPr>
      <w:r>
        <w:rPr>
          <w:rFonts w:hint="eastAsia" w:ascii="宋体" w:hAnsi="宋体"/>
          <w:color w:val="000000"/>
          <w:sz w:val="24"/>
          <w:szCs w:val="24"/>
        </w:rPr>
        <w:t>供应商产品或原料具有饮用水卫生安全产品卫生许可证复印件</w:t>
      </w:r>
      <w:r>
        <w:rPr>
          <w:rFonts w:hint="eastAsia" w:ascii="宋体" w:hAnsi="宋体"/>
          <w:b/>
          <w:color w:val="000000"/>
          <w:sz w:val="24"/>
          <w:szCs w:val="24"/>
        </w:rPr>
        <w:t>（提交响应文件时间截止前必须提交相应原件或清晰扫描件）</w:t>
      </w:r>
    </w:p>
    <w:p>
      <w:pPr>
        <w:pStyle w:val="2"/>
        <w:ind w:firstLine="240"/>
        <w:rPr>
          <w:rFonts w:ascii="宋体" w:hAnsi="宋体"/>
          <w:sz w:val="24"/>
          <w:szCs w:val="22"/>
          <w:lang w:val="en-US" w:eastAsia="zh-CN"/>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0" w:firstLineChars="0"/>
        <w:rPr>
          <w:rFonts w:hint="eastAsia"/>
        </w:rPr>
      </w:pPr>
    </w:p>
    <w:p>
      <w:pPr>
        <w:rPr>
          <w:rFonts w:ascii="黑体" w:hAnsi="宋体" w:eastAsia="黑体"/>
          <w:bCs/>
          <w:sz w:val="24"/>
          <w:szCs w:val="24"/>
        </w:rPr>
      </w:pPr>
      <w:bookmarkStart w:id="100"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t>YXGYJT202201003</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0"/>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p>
      <w:pPr>
        <w:pStyle w:val="2"/>
        <w:ind w:firstLine="210"/>
        <w:rPr>
          <w:rFonts w:hint="eastAsia"/>
        </w:rPr>
      </w:pPr>
    </w:p>
    <w:p>
      <w:pPr>
        <w:tabs>
          <w:tab w:val="left" w:pos="255"/>
        </w:tabs>
        <w:spacing w:before="156" w:beforeLines="50" w:after="156" w:afterLines="50" w:line="360" w:lineRule="auto"/>
        <w:jc w:val="center"/>
        <w:rPr>
          <w:rFonts w:hint="eastAsia" w:ascii="黑体" w:hAnsi="黑体" w:eastAsia="黑体"/>
          <w:sz w:val="28"/>
          <w:szCs w:val="21"/>
          <w:lang w:val="zh-CN"/>
        </w:rPr>
      </w:pPr>
      <w:r>
        <w:rPr>
          <w:rFonts w:hint="eastAsia" w:ascii="黑体" w:hAnsi="黑体" w:eastAsia="黑体"/>
          <w:sz w:val="28"/>
          <w:szCs w:val="21"/>
          <w:lang w:val="zh-CN"/>
        </w:rPr>
        <w:t>材料设备品牌承诺表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t>YXGYJT202201003</w:t>
      </w:r>
    </w:p>
    <w:tbl>
      <w:tblPr>
        <w:tblStyle w:val="7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402"/>
        <w:gridCol w:w="1375"/>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参照（或相当于）品牌（型号）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投标人承诺</w:t>
            </w:r>
          </w:p>
          <w:p>
            <w:pPr>
              <w:pStyle w:val="520"/>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2</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3</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4</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5</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6</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hint="eastAsia" w:ascii="宋体" w:hAnsi="宋体" w:cs="宋体"/>
                <w:sz w:val="24"/>
              </w:rPr>
            </w:pPr>
            <w:r>
              <w:rPr>
                <w:rFonts w:hint="eastAsia" w:ascii="宋体" w:hAnsi="宋体" w:cs="宋体"/>
                <w:sz w:val="24"/>
              </w:rPr>
              <w:t>7</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8</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9</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hint="eastAsia" w:ascii="宋体" w:hAnsi="宋体"/>
                <w:bCs/>
                <w:szCs w:val="21"/>
              </w:rPr>
            </w:pPr>
            <w:r>
              <w:rPr>
                <w:rFonts w:hint="eastAsia" w:ascii="宋体" w:hAnsi="宋体"/>
                <w:bCs/>
                <w:szCs w:val="21"/>
              </w:rPr>
              <w:t>10</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bCs/>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楷体"/>
                <w:sz w:val="24"/>
                <w:szCs w:val="24"/>
              </w:rPr>
            </w:pP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Cs w:val="21"/>
              </w:rPr>
            </w:pPr>
          </w:p>
        </w:tc>
      </w:tr>
    </w:tbl>
    <w:p>
      <w:pPr>
        <w:tabs>
          <w:tab w:val="left" w:pos="255"/>
        </w:tabs>
        <w:spacing w:line="360" w:lineRule="auto"/>
        <w:ind w:firstLine="600" w:firstLineChars="250"/>
        <w:jc w:val="left"/>
        <w:rPr>
          <w:rFonts w:hint="eastAsia"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101" w:name="_Toc448681959"/>
      <w:bookmarkStart w:id="102" w:name="_Toc448822646"/>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101"/>
      <w:bookmarkEnd w:id="102"/>
    </w:p>
    <w:p>
      <w:pPr>
        <w:rPr>
          <w:rFonts w:ascii="宋体" w:hAnsi="宋体"/>
          <w:color w:val="000000"/>
          <w:szCs w:val="21"/>
        </w:rPr>
      </w:pPr>
    </w:p>
    <w:p>
      <w:pPr>
        <w:jc w:val="center"/>
        <w:rPr>
          <w:rFonts w:hint="eastAsia" w:ascii="黑体" w:hAnsi="宋体" w:eastAsia="黑体"/>
          <w:sz w:val="32"/>
          <w:szCs w:val="32"/>
        </w:rPr>
      </w:pPr>
      <w:r>
        <w:rPr>
          <w:rFonts w:hint="eastAsia" w:ascii="宋体" w:hAnsi="宋体"/>
          <w:sz w:val="24"/>
          <w:szCs w:val="21"/>
          <w:lang w:val="zh-CN"/>
        </w:rPr>
        <w:t>投标人签名（盖章）：                               日期：</w:t>
      </w:r>
    </w:p>
    <w:p>
      <w:pPr>
        <w:rPr>
          <w:rFonts w:ascii="宋体" w:hAnsi="宋体"/>
          <w:b/>
          <w:bCs/>
          <w:sz w:val="36"/>
          <w:szCs w:val="36"/>
        </w:rPr>
      </w:pPr>
    </w:p>
    <w:p>
      <w:pPr>
        <w:pStyle w:val="2"/>
        <w:ind w:firstLine="210"/>
        <w:rPr>
          <w:rFonts w:hint="eastAsia"/>
          <w:lang w:val="en-US" w:eastAsia="zh-CN"/>
        </w:rPr>
      </w:pPr>
    </w:p>
    <w:p>
      <w:pPr>
        <w:spacing w:line="400" w:lineRule="exact"/>
        <w:jc w:val="center"/>
        <w:rPr>
          <w:rFonts w:hint="eastAsia" w:ascii="宋体" w:hAnsi="宋体"/>
          <w:b/>
          <w:bCs/>
          <w:sz w:val="36"/>
          <w:szCs w:val="36"/>
        </w:rPr>
      </w:pPr>
      <w:r>
        <w:rPr>
          <w:rFonts w:hint="eastAsia" w:ascii="宋体" w:hAnsi="宋体"/>
          <w:b/>
          <w:bCs/>
          <w:sz w:val="36"/>
          <w:szCs w:val="36"/>
        </w:rPr>
        <w:t>宜兴水务集团有限公司无缝钢管、螺旋缝埋弧焊钢管</w:t>
      </w:r>
    </w:p>
    <w:p>
      <w:pPr>
        <w:spacing w:line="400" w:lineRule="exact"/>
        <w:jc w:val="center"/>
        <w:rPr>
          <w:rFonts w:hint="eastAsia" w:ascii="宋体" w:hAnsi="宋体"/>
          <w:b/>
          <w:bCs/>
          <w:sz w:val="36"/>
          <w:szCs w:val="36"/>
        </w:rPr>
      </w:pPr>
      <w:r>
        <w:rPr>
          <w:rFonts w:hint="eastAsia" w:ascii="宋体" w:hAnsi="宋体"/>
          <w:b/>
          <w:bCs/>
          <w:sz w:val="36"/>
          <w:szCs w:val="36"/>
        </w:rPr>
        <w:t>采购招标公告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spacing w:line="400" w:lineRule="exact"/>
        <w:jc w:val="left"/>
        <w:rPr>
          <w:rFonts w:ascii="仿宋" w:hAnsi="仿宋" w:eastAsia="仿宋"/>
          <w:b/>
          <w:bCs/>
          <w:sz w:val="28"/>
          <w:szCs w:val="28"/>
        </w:rPr>
      </w:pPr>
      <w:r>
        <w:rPr>
          <w:rFonts w:hint="eastAsia" w:ascii="仿宋" w:hAnsi="仿宋" w:eastAsia="仿宋" w:cs="仿宋"/>
          <w:sz w:val="28"/>
          <w:szCs w:val="28"/>
        </w:rPr>
        <w:t xml:space="preserve">    因工作需要，现组织宜兴水务集团有限公司对无缝钢管、螺旋缝埋弧焊钢管采购进行招标。现欢迎符合相关条件的供应商参加投标。</w:t>
      </w:r>
    </w:p>
    <w:p>
      <w:pPr>
        <w:spacing w:line="560" w:lineRule="exact"/>
        <w:rPr>
          <w:rFonts w:ascii="仿宋" w:hAnsi="仿宋" w:eastAsia="仿宋"/>
          <w:b/>
          <w:sz w:val="28"/>
          <w:szCs w:val="28"/>
        </w:rPr>
      </w:pPr>
      <w:r>
        <w:rPr>
          <w:rFonts w:hint="eastAsia" w:ascii="仿宋" w:hAnsi="仿宋" w:eastAsia="仿宋"/>
          <w:b/>
          <w:sz w:val="28"/>
          <w:szCs w:val="28"/>
        </w:rPr>
        <w:t xml:space="preserve">    一、招标项目主要信息：</w:t>
      </w:r>
    </w:p>
    <w:p>
      <w:pPr>
        <w:ind w:firstLine="560" w:firstLineChars="200"/>
        <w:rPr>
          <w:rFonts w:ascii="仿宋" w:hAnsi="仿宋" w:eastAsia="仿宋"/>
          <w:sz w:val="28"/>
          <w:szCs w:val="28"/>
        </w:rPr>
      </w:pPr>
      <w:r>
        <w:rPr>
          <w:rFonts w:hint="eastAsia" w:ascii="仿宋" w:hAnsi="仿宋" w:eastAsia="仿宋"/>
          <w:sz w:val="28"/>
          <w:szCs w:val="28"/>
        </w:rPr>
        <w:t>①项目编号：</w:t>
      </w:r>
      <w:r>
        <w:rPr>
          <w:rFonts w:ascii="仿宋" w:hAnsi="仿宋" w:eastAsia="仿宋"/>
          <w:sz w:val="28"/>
          <w:szCs w:val="28"/>
        </w:rPr>
        <w:t>YXGYJT202201003</w:t>
      </w:r>
    </w:p>
    <w:p>
      <w:pPr>
        <w:jc w:val="left"/>
        <w:rPr>
          <w:rFonts w:ascii="仿宋" w:hAnsi="仿宋" w:eastAsia="仿宋"/>
          <w:b/>
          <w:bCs/>
          <w:sz w:val="28"/>
          <w:szCs w:val="28"/>
        </w:rPr>
      </w:pPr>
      <w:r>
        <w:rPr>
          <w:rFonts w:hint="eastAsia" w:ascii="仿宋" w:hAnsi="仿宋" w:eastAsia="仿宋"/>
          <w:sz w:val="28"/>
          <w:szCs w:val="28"/>
        </w:rPr>
        <w:t xml:space="preserve">    ②项目名称：</w:t>
      </w:r>
      <w:r>
        <w:rPr>
          <w:rFonts w:hint="eastAsia" w:ascii="仿宋" w:hAnsi="仿宋" w:eastAsia="仿宋" w:cs="仿宋"/>
          <w:sz w:val="28"/>
          <w:szCs w:val="28"/>
        </w:rPr>
        <w:t>无缝钢管、螺旋缝埋弧焊钢管采购</w:t>
      </w:r>
    </w:p>
    <w:p>
      <w:pPr>
        <w:ind w:firstLine="560" w:firstLineChars="200"/>
        <w:rPr>
          <w:rFonts w:ascii="仿宋" w:hAnsi="仿宋" w:eastAsia="仿宋"/>
          <w:sz w:val="28"/>
          <w:szCs w:val="28"/>
        </w:rPr>
      </w:pPr>
      <w:r>
        <w:rPr>
          <w:rFonts w:hint="eastAsia" w:ascii="仿宋" w:hAnsi="仿宋" w:eastAsia="仿宋"/>
          <w:sz w:val="28"/>
          <w:szCs w:val="28"/>
        </w:rPr>
        <w:t>③项目简要说明：详见招标文件</w:t>
      </w:r>
    </w:p>
    <w:p>
      <w:pPr>
        <w:pStyle w:val="290"/>
        <w:rPr>
          <w:rFonts w:hint="eastAsia" w:ascii="仿宋" w:hAnsi="仿宋" w:eastAsia="仿宋"/>
          <w:sz w:val="28"/>
          <w:szCs w:val="28"/>
        </w:rPr>
      </w:pPr>
      <w:r>
        <w:rPr>
          <w:rFonts w:hint="eastAsia" w:ascii="仿宋" w:hAnsi="仿宋" w:eastAsia="仿宋"/>
          <w:sz w:val="28"/>
          <w:szCs w:val="28"/>
        </w:rPr>
        <w:t xml:space="preserve">    ④本项目预算为：</w:t>
      </w:r>
      <w:r>
        <w:rPr>
          <w:rFonts w:hint="eastAsia" w:ascii="仿宋" w:hAnsi="仿宋" w:eastAsia="仿宋"/>
          <w:color w:val="000000"/>
          <w:kern w:val="2"/>
          <w:sz w:val="28"/>
          <w:szCs w:val="28"/>
          <w:u w:val="none" w:color="auto"/>
        </w:rPr>
        <w:t>49.5</w:t>
      </w:r>
      <w:r>
        <w:rPr>
          <w:rFonts w:hint="eastAsia" w:ascii="仿宋" w:hAnsi="仿宋" w:eastAsia="仿宋"/>
          <w:kern w:val="2"/>
          <w:sz w:val="28"/>
          <w:szCs w:val="28"/>
          <w:u w:val="none" w:color="auto"/>
        </w:rPr>
        <w:t>万，最低价中标</w:t>
      </w:r>
      <w:r>
        <w:rPr>
          <w:rFonts w:hint="eastAsia" w:ascii="仿宋" w:eastAsia="仿宋"/>
          <w:kern w:val="2"/>
          <w:sz w:val="28"/>
          <w:szCs w:val="28"/>
          <w:u w:val="none" w:color="auto"/>
        </w:rPr>
        <w:t> </w:t>
      </w:r>
      <w:r>
        <w:rPr>
          <w:rFonts w:hint="eastAsia" w:ascii="仿宋" w:hAnsi="仿宋" w:eastAsia="仿宋"/>
          <w:kern w:val="2"/>
          <w:sz w:val="28"/>
          <w:szCs w:val="28"/>
          <w:u w:val="none" w:color="auto"/>
        </w:rPr>
        <w:t>。</w:t>
      </w:r>
    </w:p>
    <w:p>
      <w:pPr>
        <w:spacing w:line="560" w:lineRule="exact"/>
        <w:rPr>
          <w:rFonts w:hint="eastAsia" w:ascii="仿宋" w:hAnsi="仿宋" w:eastAsia="仿宋"/>
          <w:b/>
          <w:sz w:val="28"/>
          <w:szCs w:val="28"/>
        </w:rPr>
      </w:pPr>
      <w:r>
        <w:rPr>
          <w:rFonts w:hint="eastAsia" w:ascii="仿宋" w:hAnsi="仿宋" w:eastAsia="仿宋"/>
          <w:b/>
          <w:sz w:val="28"/>
          <w:szCs w:val="28"/>
        </w:rPr>
        <w:t xml:space="preserve">    二、投标人资格要求：</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①具有独立承担民事责任的能力的专业制造商或经授权的代理商，如为代理商参加成交后签订合同前提供制造商对本项目的授权书（携带原件），制造商和代理商如同时参与，只接受制造商报价。</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②有依法缴纳税收和社会保障资金的良好记录；</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③具有履行合同所必需的设备和专业技术能力；</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④不接受联合体，不接受成交后分包；</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⑤无不良信用记录。</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⑥供应商是否具有做钢管内外防腐的能力，以其营业执照经营范围为准，如供应商无做钢管内外防腐的能力，可以自行选择专业防腐企业，在响应文件中明确防腐企业名称，并提供加盖双方企业公章的协议书；（提交响应文件时间截止前必须提交相应原件或清晰扫描件）</w:t>
      </w:r>
    </w:p>
    <w:p>
      <w:pPr>
        <w:spacing w:line="560" w:lineRule="exact"/>
        <w:ind w:firstLine="560" w:firstLineChars="200"/>
        <w:rPr>
          <w:rFonts w:hint="eastAsia" w:ascii="仿宋" w:hAnsi="仿宋" w:eastAsia="仿宋"/>
          <w:kern w:val="0"/>
          <w:sz w:val="28"/>
          <w:szCs w:val="28"/>
          <w:u w:val="none" w:color="000000"/>
        </w:rPr>
      </w:pPr>
      <w:r>
        <w:rPr>
          <w:rFonts w:hint="eastAsia" w:ascii="仿宋" w:hAnsi="仿宋" w:eastAsia="仿宋"/>
          <w:kern w:val="0"/>
          <w:sz w:val="28"/>
          <w:szCs w:val="28"/>
          <w:u w:val="none" w:color="000000"/>
        </w:rPr>
        <w:t>⑦供应商产品或原料具有饮用水卫生安全产品卫生许可证提交响应文件时间截止前必须提交相应原件或清晰扫描件）</w:t>
      </w:r>
    </w:p>
    <w:p>
      <w:pPr>
        <w:spacing w:line="560" w:lineRule="exact"/>
        <w:ind w:firstLine="562" w:firstLineChars="200"/>
        <w:rPr>
          <w:rFonts w:ascii="仿宋" w:hAnsi="仿宋" w:eastAsia="仿宋"/>
          <w:b/>
          <w:sz w:val="28"/>
          <w:szCs w:val="28"/>
        </w:rPr>
      </w:pPr>
      <w:r>
        <w:rPr>
          <w:rFonts w:hint="eastAsia" w:ascii="仿宋" w:hAnsi="仿宋" w:eastAsia="仿宋"/>
          <w:b/>
          <w:sz w:val="28"/>
          <w:szCs w:val="28"/>
        </w:rPr>
        <w:t>三、投标及开标有关信息：</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1、提交投标文件截止及开标时间：2022年1月20日10：00</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2、确定采购结果时间：评审结束后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3、地点：宜兴市公用产业集团有限公司二楼开标室</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4、其他有关事项：截止期后的投标文件或未按招标文件规定密封的投标文件，恕不接受。</w:t>
      </w:r>
    </w:p>
    <w:p>
      <w:pPr>
        <w:spacing w:line="560" w:lineRule="exact"/>
        <w:rPr>
          <w:rFonts w:ascii="仿宋" w:hAnsi="仿宋" w:eastAsia="仿宋"/>
          <w:sz w:val="28"/>
          <w:szCs w:val="28"/>
        </w:rPr>
      </w:pPr>
      <w:r>
        <w:rPr>
          <w:rFonts w:hint="eastAsia" w:ascii="仿宋" w:hAnsi="仿宋" w:eastAsia="仿宋"/>
          <w:b/>
          <w:sz w:val="28"/>
          <w:szCs w:val="28"/>
        </w:rPr>
        <w:t xml:space="preserve">    四、公告期限：</w:t>
      </w:r>
      <w:r>
        <w:rPr>
          <w:rFonts w:hint="eastAsia" w:ascii="仿宋" w:hAnsi="仿宋" w:eastAsia="仿宋"/>
          <w:sz w:val="28"/>
          <w:szCs w:val="28"/>
        </w:rPr>
        <w:t>2022年1月13日-2022年1月16日。</w:t>
      </w:r>
    </w:p>
    <w:p>
      <w:pPr>
        <w:spacing w:line="560" w:lineRule="exact"/>
        <w:rPr>
          <w:rFonts w:ascii="仿宋" w:hAnsi="仿宋" w:eastAsia="仿宋"/>
          <w:b/>
          <w:sz w:val="28"/>
          <w:szCs w:val="28"/>
        </w:rPr>
      </w:pPr>
      <w:r>
        <w:rPr>
          <w:rFonts w:hint="eastAsia" w:ascii="仿宋" w:hAnsi="仿宋" w:eastAsia="仿宋"/>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 w:hAnsi="仿宋" w:eastAsia="仿宋"/>
                <w:sz w:val="28"/>
                <w:szCs w:val="28"/>
              </w:rPr>
            </w:pPr>
            <w:bookmarkStart w:id="103" w:name="OLE_LINK29"/>
            <w:bookmarkEnd w:id="103"/>
            <w:r>
              <w:rPr>
                <w:rFonts w:hint="eastAsia" w:ascii="仿宋" w:hAnsi="仿宋" w:eastAsia="仿宋"/>
                <w:sz w:val="28"/>
                <w:szCs w:val="28"/>
              </w:rPr>
              <w:t>采购人：宜兴水务集团有限公司</w:t>
            </w:r>
          </w:p>
          <w:p>
            <w:pPr>
              <w:spacing w:line="560" w:lineRule="exact"/>
              <w:rPr>
                <w:rFonts w:ascii="仿宋" w:hAnsi="仿宋" w:eastAsia="仿宋"/>
                <w:sz w:val="28"/>
                <w:szCs w:val="28"/>
              </w:rPr>
            </w:pPr>
            <w:r>
              <w:rPr>
                <w:rFonts w:hint="eastAsia" w:ascii="仿宋" w:hAnsi="仿宋" w:eastAsia="仿宋"/>
                <w:sz w:val="28"/>
                <w:szCs w:val="28"/>
              </w:rPr>
              <w:t>联系人：赵女士、刘先生</w:t>
            </w:r>
          </w:p>
          <w:p>
            <w:pPr>
              <w:spacing w:line="560" w:lineRule="exact"/>
              <w:rPr>
                <w:rFonts w:ascii="仿宋" w:hAnsi="仿宋" w:eastAsia="仿宋"/>
                <w:sz w:val="28"/>
                <w:szCs w:val="28"/>
              </w:rPr>
            </w:pPr>
            <w:r>
              <w:rPr>
                <w:rFonts w:hint="eastAsia" w:ascii="仿宋" w:hAnsi="仿宋" w:eastAsia="仿宋"/>
                <w:sz w:val="28"/>
                <w:szCs w:val="28"/>
              </w:rPr>
              <w:t>联系电话：0510-80718885</w:t>
            </w:r>
          </w:p>
          <w:p>
            <w:pPr>
              <w:spacing w:line="560" w:lineRule="exact"/>
              <w:rPr>
                <w:rFonts w:ascii="仿宋" w:hAnsi="仿宋" w:eastAsia="仿宋"/>
                <w:sz w:val="28"/>
                <w:szCs w:val="28"/>
              </w:rPr>
            </w:pPr>
            <w:r>
              <w:rPr>
                <w:rFonts w:hint="eastAsia" w:ascii="仿宋" w:hAnsi="仿宋" w:eastAsia="仿宋"/>
                <w:sz w:val="28"/>
                <w:szCs w:val="28"/>
              </w:rPr>
              <w:t>联系地址：宜兴市环科园绿园路528号</w:t>
            </w:r>
          </w:p>
          <w:p>
            <w:pPr>
              <w:spacing w:line="560" w:lineRule="exact"/>
              <w:rPr>
                <w:rFonts w:ascii="仿宋" w:hAnsi="仿宋" w:eastAsia="仿宋"/>
                <w:sz w:val="28"/>
                <w:szCs w:val="28"/>
              </w:rPr>
            </w:pPr>
            <w:r>
              <w:rPr>
                <w:rFonts w:hint="eastAsia" w:ascii="仿宋" w:hAnsi="仿宋" w:eastAsia="仿宋"/>
                <w:sz w:val="28"/>
                <w:szCs w:val="28"/>
              </w:rPr>
              <w:t>邮政编码：214200</w:t>
            </w:r>
          </w:p>
        </w:tc>
      </w:tr>
    </w:tbl>
    <w:p>
      <w:pPr>
        <w:spacing w:line="560" w:lineRule="exact"/>
        <w:rPr>
          <w:rFonts w:ascii="仿宋" w:hAnsi="仿宋" w:eastAsia="仿宋"/>
          <w:sz w:val="28"/>
          <w:szCs w:val="28"/>
        </w:rPr>
      </w:pPr>
      <w:r>
        <w:rPr>
          <w:rFonts w:hint="eastAsia" w:ascii="仿宋" w:hAnsi="仿宋" w:eastAsia="仿宋"/>
          <w:sz w:val="28"/>
          <w:szCs w:val="28"/>
        </w:rPr>
        <w:t>有关本次招投标活动方面的问题,可来人、来函（传真）或电话联系。</w:t>
      </w:r>
    </w:p>
    <w:p>
      <w:pPr>
        <w:spacing w:line="560" w:lineRule="exact"/>
        <w:rPr>
          <w:rFonts w:ascii="仿宋" w:hAnsi="仿宋" w:eastAsia="仿宋"/>
          <w:sz w:val="28"/>
          <w:szCs w:val="28"/>
        </w:rPr>
      </w:pPr>
      <w:r>
        <w:rPr>
          <w:rFonts w:hint="eastAsia" w:eastAsia="仿宋"/>
          <w:sz w:val="28"/>
          <w:szCs w:val="28"/>
        </w:rPr>
        <w:t> </w:t>
      </w:r>
    </w:p>
    <w:p>
      <w:pPr>
        <w:spacing w:line="560" w:lineRule="exact"/>
        <w:rPr>
          <w:rFonts w:ascii="仿宋" w:hAnsi="仿宋" w:eastAsia="仿宋"/>
          <w:sz w:val="28"/>
          <w:szCs w:val="28"/>
        </w:rPr>
      </w:pPr>
    </w:p>
    <w:p>
      <w:pPr>
        <w:spacing w:line="560" w:lineRule="exact"/>
        <w:jc w:val="right"/>
        <w:rPr>
          <w:rFonts w:ascii="仿宋" w:hAnsi="仿宋" w:eastAsia="仿宋"/>
          <w:sz w:val="28"/>
          <w:szCs w:val="28"/>
        </w:rPr>
      </w:pPr>
      <w:r>
        <w:rPr>
          <w:rFonts w:hint="eastAsia" w:ascii="仿宋" w:hAnsi="仿宋" w:eastAsia="仿宋"/>
          <w:sz w:val="28"/>
          <w:szCs w:val="28"/>
        </w:rPr>
        <w:t>宜兴水务集团有限公司</w:t>
      </w:r>
    </w:p>
    <w:p>
      <w:pPr>
        <w:spacing w:line="560" w:lineRule="exact"/>
        <w:jc w:val="center"/>
        <w:rPr>
          <w:rFonts w:ascii="仿宋" w:hAnsi="仿宋" w:eastAsia="仿宋"/>
          <w:sz w:val="28"/>
          <w:szCs w:val="28"/>
        </w:rPr>
      </w:pPr>
      <w:r>
        <w:rPr>
          <w:rFonts w:hint="eastAsia" w:ascii="仿宋" w:hAnsi="仿宋" w:eastAsia="仿宋"/>
          <w:sz w:val="28"/>
          <w:szCs w:val="28"/>
        </w:rPr>
        <w:t xml:space="preserve">                                        2022年1月</w:t>
      </w:r>
      <w:r>
        <w:rPr>
          <w:rFonts w:hint="eastAsia" w:ascii="仿宋" w:hAnsi="仿宋" w:eastAsia="仿宋"/>
          <w:color w:val="000000"/>
          <w:sz w:val="28"/>
          <w:szCs w:val="28"/>
        </w:rPr>
        <w:t>13</w:t>
      </w:r>
      <w:r>
        <w:rPr>
          <w:rFonts w:hint="eastAsia" w:ascii="仿宋" w:hAnsi="仿宋" w:eastAsia="仿宋"/>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3</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8"/>
  </w:num>
  <w:num w:numId="3">
    <w:abstractNumId w:val="1"/>
  </w:num>
  <w:num w:numId="4">
    <w:abstractNumId w:val="0"/>
  </w:num>
  <w:num w:numId="5">
    <w:abstractNumId w:val="3"/>
  </w:num>
  <w:num w:numId="6">
    <w:abstractNumId w:val="15"/>
  </w:num>
  <w:num w:numId="7">
    <w:abstractNumId w:val="6"/>
  </w:num>
  <w:num w:numId="8">
    <w:abstractNumId w:val="23"/>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2"/>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5789"/>
    <w:rsid w:val="00047392"/>
    <w:rsid w:val="00053B42"/>
    <w:rsid w:val="00063081"/>
    <w:rsid w:val="00063887"/>
    <w:rsid w:val="0007007A"/>
    <w:rsid w:val="000770C1"/>
    <w:rsid w:val="00077B4D"/>
    <w:rsid w:val="000874F5"/>
    <w:rsid w:val="00093219"/>
    <w:rsid w:val="00094306"/>
    <w:rsid w:val="000B34F3"/>
    <w:rsid w:val="000B4009"/>
    <w:rsid w:val="000D028C"/>
    <w:rsid w:val="000D0A31"/>
    <w:rsid w:val="000D3929"/>
    <w:rsid w:val="000D45B7"/>
    <w:rsid w:val="000D4D3F"/>
    <w:rsid w:val="000E1BC8"/>
    <w:rsid w:val="000E2D0A"/>
    <w:rsid w:val="000E775E"/>
    <w:rsid w:val="000F2E02"/>
    <w:rsid w:val="00107521"/>
    <w:rsid w:val="00110153"/>
    <w:rsid w:val="00115C57"/>
    <w:rsid w:val="00145CF6"/>
    <w:rsid w:val="00156D11"/>
    <w:rsid w:val="00162D73"/>
    <w:rsid w:val="00163B02"/>
    <w:rsid w:val="001659AF"/>
    <w:rsid w:val="00173360"/>
    <w:rsid w:val="00173521"/>
    <w:rsid w:val="0018308F"/>
    <w:rsid w:val="00194751"/>
    <w:rsid w:val="001A0AEB"/>
    <w:rsid w:val="001A3569"/>
    <w:rsid w:val="001B3697"/>
    <w:rsid w:val="001B387B"/>
    <w:rsid w:val="001D475E"/>
    <w:rsid w:val="001E527B"/>
    <w:rsid w:val="0020510D"/>
    <w:rsid w:val="00205424"/>
    <w:rsid w:val="00211160"/>
    <w:rsid w:val="00216917"/>
    <w:rsid w:val="00223458"/>
    <w:rsid w:val="00225291"/>
    <w:rsid w:val="00227721"/>
    <w:rsid w:val="00230288"/>
    <w:rsid w:val="002375AF"/>
    <w:rsid w:val="002404C7"/>
    <w:rsid w:val="00243C15"/>
    <w:rsid w:val="00245B7A"/>
    <w:rsid w:val="00247529"/>
    <w:rsid w:val="00251986"/>
    <w:rsid w:val="00253543"/>
    <w:rsid w:val="002540A7"/>
    <w:rsid w:val="002674E8"/>
    <w:rsid w:val="00280EDD"/>
    <w:rsid w:val="0028335F"/>
    <w:rsid w:val="00284CC6"/>
    <w:rsid w:val="00296193"/>
    <w:rsid w:val="002A1E2E"/>
    <w:rsid w:val="002A24D8"/>
    <w:rsid w:val="002B39BB"/>
    <w:rsid w:val="002B59FB"/>
    <w:rsid w:val="002C70BA"/>
    <w:rsid w:val="002D5406"/>
    <w:rsid w:val="002E1824"/>
    <w:rsid w:val="002F27D6"/>
    <w:rsid w:val="002F7E29"/>
    <w:rsid w:val="0030271C"/>
    <w:rsid w:val="00325CA3"/>
    <w:rsid w:val="00342F5B"/>
    <w:rsid w:val="0034450C"/>
    <w:rsid w:val="003451BB"/>
    <w:rsid w:val="00355177"/>
    <w:rsid w:val="00362009"/>
    <w:rsid w:val="00367385"/>
    <w:rsid w:val="0037783C"/>
    <w:rsid w:val="00377A1A"/>
    <w:rsid w:val="0038324F"/>
    <w:rsid w:val="003937B6"/>
    <w:rsid w:val="00393C62"/>
    <w:rsid w:val="00394046"/>
    <w:rsid w:val="00396495"/>
    <w:rsid w:val="003C0E52"/>
    <w:rsid w:val="003E1D25"/>
    <w:rsid w:val="003F7B1A"/>
    <w:rsid w:val="00443203"/>
    <w:rsid w:val="0044552F"/>
    <w:rsid w:val="00465523"/>
    <w:rsid w:val="00490924"/>
    <w:rsid w:val="004A16AA"/>
    <w:rsid w:val="004B012F"/>
    <w:rsid w:val="004B1705"/>
    <w:rsid w:val="004B2387"/>
    <w:rsid w:val="004B3B04"/>
    <w:rsid w:val="004D3EC7"/>
    <w:rsid w:val="004D4322"/>
    <w:rsid w:val="004D65D3"/>
    <w:rsid w:val="004E1819"/>
    <w:rsid w:val="004E4701"/>
    <w:rsid w:val="004E5E09"/>
    <w:rsid w:val="004F1D66"/>
    <w:rsid w:val="00510E70"/>
    <w:rsid w:val="00511196"/>
    <w:rsid w:val="00517E1D"/>
    <w:rsid w:val="0053192E"/>
    <w:rsid w:val="00533CEB"/>
    <w:rsid w:val="00543359"/>
    <w:rsid w:val="00554A82"/>
    <w:rsid w:val="0056381F"/>
    <w:rsid w:val="00563CCD"/>
    <w:rsid w:val="00572186"/>
    <w:rsid w:val="00575902"/>
    <w:rsid w:val="005B1826"/>
    <w:rsid w:val="005B3469"/>
    <w:rsid w:val="005B4FA7"/>
    <w:rsid w:val="005C2860"/>
    <w:rsid w:val="005C6322"/>
    <w:rsid w:val="005C6971"/>
    <w:rsid w:val="005F73AF"/>
    <w:rsid w:val="006112BE"/>
    <w:rsid w:val="00611F53"/>
    <w:rsid w:val="00612EEF"/>
    <w:rsid w:val="00624DB0"/>
    <w:rsid w:val="00636A45"/>
    <w:rsid w:val="00657F7E"/>
    <w:rsid w:val="00667851"/>
    <w:rsid w:val="0067075C"/>
    <w:rsid w:val="00673FC5"/>
    <w:rsid w:val="0068693F"/>
    <w:rsid w:val="00697679"/>
    <w:rsid w:val="006C2FFD"/>
    <w:rsid w:val="006C5913"/>
    <w:rsid w:val="006D196A"/>
    <w:rsid w:val="006E72CE"/>
    <w:rsid w:val="006F4E0A"/>
    <w:rsid w:val="006F6722"/>
    <w:rsid w:val="007026D5"/>
    <w:rsid w:val="00710B2E"/>
    <w:rsid w:val="00714C03"/>
    <w:rsid w:val="007241D7"/>
    <w:rsid w:val="00726EBA"/>
    <w:rsid w:val="00731C9A"/>
    <w:rsid w:val="0073294A"/>
    <w:rsid w:val="0073295A"/>
    <w:rsid w:val="00743D98"/>
    <w:rsid w:val="00751B1C"/>
    <w:rsid w:val="00760775"/>
    <w:rsid w:val="00773E58"/>
    <w:rsid w:val="00776638"/>
    <w:rsid w:val="0078335A"/>
    <w:rsid w:val="00784C8F"/>
    <w:rsid w:val="00794980"/>
    <w:rsid w:val="00795C42"/>
    <w:rsid w:val="007A376A"/>
    <w:rsid w:val="007C3291"/>
    <w:rsid w:val="007C5599"/>
    <w:rsid w:val="007D20CA"/>
    <w:rsid w:val="007D6775"/>
    <w:rsid w:val="007E62F1"/>
    <w:rsid w:val="007F1681"/>
    <w:rsid w:val="007F188A"/>
    <w:rsid w:val="007F2D64"/>
    <w:rsid w:val="00801052"/>
    <w:rsid w:val="00803E7C"/>
    <w:rsid w:val="00806B1F"/>
    <w:rsid w:val="00810F54"/>
    <w:rsid w:val="00822AEB"/>
    <w:rsid w:val="00831521"/>
    <w:rsid w:val="00836091"/>
    <w:rsid w:val="00836D8E"/>
    <w:rsid w:val="00840EA7"/>
    <w:rsid w:val="00841471"/>
    <w:rsid w:val="00845FBB"/>
    <w:rsid w:val="00845FF7"/>
    <w:rsid w:val="008521FA"/>
    <w:rsid w:val="0085617D"/>
    <w:rsid w:val="008648EB"/>
    <w:rsid w:val="0088172F"/>
    <w:rsid w:val="00891430"/>
    <w:rsid w:val="0089150E"/>
    <w:rsid w:val="008B4989"/>
    <w:rsid w:val="008D2564"/>
    <w:rsid w:val="008D74F7"/>
    <w:rsid w:val="008E637F"/>
    <w:rsid w:val="008F5CE2"/>
    <w:rsid w:val="0090199D"/>
    <w:rsid w:val="00901CE3"/>
    <w:rsid w:val="00904D0F"/>
    <w:rsid w:val="00905D4E"/>
    <w:rsid w:val="0090677A"/>
    <w:rsid w:val="00916FFD"/>
    <w:rsid w:val="0092743B"/>
    <w:rsid w:val="009302FD"/>
    <w:rsid w:val="00932F13"/>
    <w:rsid w:val="00933662"/>
    <w:rsid w:val="0093777E"/>
    <w:rsid w:val="009432E3"/>
    <w:rsid w:val="00955E8E"/>
    <w:rsid w:val="00960456"/>
    <w:rsid w:val="00961492"/>
    <w:rsid w:val="0096255D"/>
    <w:rsid w:val="009639E0"/>
    <w:rsid w:val="00963F99"/>
    <w:rsid w:val="00965A95"/>
    <w:rsid w:val="0098522E"/>
    <w:rsid w:val="009856C4"/>
    <w:rsid w:val="00990483"/>
    <w:rsid w:val="00991592"/>
    <w:rsid w:val="00993DA8"/>
    <w:rsid w:val="00996823"/>
    <w:rsid w:val="00996891"/>
    <w:rsid w:val="00996FC8"/>
    <w:rsid w:val="009A0FB8"/>
    <w:rsid w:val="009B033D"/>
    <w:rsid w:val="009B3CF3"/>
    <w:rsid w:val="009C298E"/>
    <w:rsid w:val="009C5527"/>
    <w:rsid w:val="009C57DE"/>
    <w:rsid w:val="009C7C3F"/>
    <w:rsid w:val="009F36E1"/>
    <w:rsid w:val="00A11D37"/>
    <w:rsid w:val="00A24A80"/>
    <w:rsid w:val="00A2544B"/>
    <w:rsid w:val="00A36160"/>
    <w:rsid w:val="00A52BEF"/>
    <w:rsid w:val="00A54835"/>
    <w:rsid w:val="00A5785A"/>
    <w:rsid w:val="00A678FA"/>
    <w:rsid w:val="00A67A1A"/>
    <w:rsid w:val="00A72C5E"/>
    <w:rsid w:val="00A76493"/>
    <w:rsid w:val="00A91BD7"/>
    <w:rsid w:val="00A927BE"/>
    <w:rsid w:val="00A93C38"/>
    <w:rsid w:val="00AA30CA"/>
    <w:rsid w:val="00AB0810"/>
    <w:rsid w:val="00AC2325"/>
    <w:rsid w:val="00AC4069"/>
    <w:rsid w:val="00AC43D0"/>
    <w:rsid w:val="00AD04E4"/>
    <w:rsid w:val="00AD0AA0"/>
    <w:rsid w:val="00AD499B"/>
    <w:rsid w:val="00B02D95"/>
    <w:rsid w:val="00B032CC"/>
    <w:rsid w:val="00B17D9D"/>
    <w:rsid w:val="00B24081"/>
    <w:rsid w:val="00B254B9"/>
    <w:rsid w:val="00B30897"/>
    <w:rsid w:val="00B3107D"/>
    <w:rsid w:val="00B36F53"/>
    <w:rsid w:val="00B525E9"/>
    <w:rsid w:val="00B64171"/>
    <w:rsid w:val="00B64ECF"/>
    <w:rsid w:val="00B70A8E"/>
    <w:rsid w:val="00B767C3"/>
    <w:rsid w:val="00B805B3"/>
    <w:rsid w:val="00B9494C"/>
    <w:rsid w:val="00BA2387"/>
    <w:rsid w:val="00BA3969"/>
    <w:rsid w:val="00BA5309"/>
    <w:rsid w:val="00BB0746"/>
    <w:rsid w:val="00BF1F2A"/>
    <w:rsid w:val="00BF2413"/>
    <w:rsid w:val="00BF7E55"/>
    <w:rsid w:val="00C032FB"/>
    <w:rsid w:val="00C1057C"/>
    <w:rsid w:val="00C10902"/>
    <w:rsid w:val="00C16984"/>
    <w:rsid w:val="00C20209"/>
    <w:rsid w:val="00C32866"/>
    <w:rsid w:val="00C33F56"/>
    <w:rsid w:val="00C43230"/>
    <w:rsid w:val="00C4327B"/>
    <w:rsid w:val="00C61B60"/>
    <w:rsid w:val="00C65C7E"/>
    <w:rsid w:val="00C65DB1"/>
    <w:rsid w:val="00C775B8"/>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22EA"/>
    <w:rsid w:val="00D23C42"/>
    <w:rsid w:val="00D26052"/>
    <w:rsid w:val="00D3393D"/>
    <w:rsid w:val="00D3536F"/>
    <w:rsid w:val="00D375AE"/>
    <w:rsid w:val="00D416F0"/>
    <w:rsid w:val="00D46709"/>
    <w:rsid w:val="00D55F92"/>
    <w:rsid w:val="00D57E88"/>
    <w:rsid w:val="00D66B2E"/>
    <w:rsid w:val="00D67BC6"/>
    <w:rsid w:val="00DB1B97"/>
    <w:rsid w:val="00DC7154"/>
    <w:rsid w:val="00DC7F06"/>
    <w:rsid w:val="00DD0194"/>
    <w:rsid w:val="00DD7C73"/>
    <w:rsid w:val="00DE533D"/>
    <w:rsid w:val="00DF662D"/>
    <w:rsid w:val="00E05E02"/>
    <w:rsid w:val="00E06000"/>
    <w:rsid w:val="00E21119"/>
    <w:rsid w:val="00E26EED"/>
    <w:rsid w:val="00E36E09"/>
    <w:rsid w:val="00E3773E"/>
    <w:rsid w:val="00E45A95"/>
    <w:rsid w:val="00E56CB4"/>
    <w:rsid w:val="00E57313"/>
    <w:rsid w:val="00E57464"/>
    <w:rsid w:val="00E60E07"/>
    <w:rsid w:val="00E61E16"/>
    <w:rsid w:val="00E67060"/>
    <w:rsid w:val="00E7084A"/>
    <w:rsid w:val="00E8076E"/>
    <w:rsid w:val="00E8219F"/>
    <w:rsid w:val="00E83D8E"/>
    <w:rsid w:val="00E87948"/>
    <w:rsid w:val="00E96F4C"/>
    <w:rsid w:val="00E97F57"/>
    <w:rsid w:val="00EA0AFE"/>
    <w:rsid w:val="00EA2906"/>
    <w:rsid w:val="00EA2F1D"/>
    <w:rsid w:val="00EB2A2B"/>
    <w:rsid w:val="00EB48F2"/>
    <w:rsid w:val="00EB54B0"/>
    <w:rsid w:val="00ED0DBD"/>
    <w:rsid w:val="00EE24CA"/>
    <w:rsid w:val="00EE2EEC"/>
    <w:rsid w:val="00EE5F8B"/>
    <w:rsid w:val="00EF1D49"/>
    <w:rsid w:val="00F0063E"/>
    <w:rsid w:val="00F03A85"/>
    <w:rsid w:val="00F03B15"/>
    <w:rsid w:val="00F05F98"/>
    <w:rsid w:val="00F06ECE"/>
    <w:rsid w:val="00F11A76"/>
    <w:rsid w:val="00F13507"/>
    <w:rsid w:val="00F16BF2"/>
    <w:rsid w:val="00F20AD4"/>
    <w:rsid w:val="00F236AD"/>
    <w:rsid w:val="00F26171"/>
    <w:rsid w:val="00F373AB"/>
    <w:rsid w:val="00F4434A"/>
    <w:rsid w:val="00F507DE"/>
    <w:rsid w:val="00F51DCC"/>
    <w:rsid w:val="00F55979"/>
    <w:rsid w:val="00F57D25"/>
    <w:rsid w:val="00F63BB0"/>
    <w:rsid w:val="00F65FCD"/>
    <w:rsid w:val="00F70ABE"/>
    <w:rsid w:val="00F73FDD"/>
    <w:rsid w:val="00F751C5"/>
    <w:rsid w:val="00F81AF0"/>
    <w:rsid w:val="00F822F0"/>
    <w:rsid w:val="00FA1DD3"/>
    <w:rsid w:val="00FA374B"/>
    <w:rsid w:val="00FA6C2F"/>
    <w:rsid w:val="00FB0C38"/>
    <w:rsid w:val="00FB136F"/>
    <w:rsid w:val="00FB146D"/>
    <w:rsid w:val="00FB49F8"/>
    <w:rsid w:val="00FB5FAB"/>
    <w:rsid w:val="00FC20AC"/>
    <w:rsid w:val="00FC298F"/>
    <w:rsid w:val="00FC4B30"/>
    <w:rsid w:val="00FD33BD"/>
    <w:rsid w:val="00FD6F1A"/>
    <w:rsid w:val="00FE1913"/>
    <w:rsid w:val="00FE43DF"/>
    <w:rsid w:val="00FE73C8"/>
    <w:rsid w:val="01BC5A23"/>
    <w:rsid w:val="03C30993"/>
    <w:rsid w:val="0790057F"/>
    <w:rsid w:val="088C2CFA"/>
    <w:rsid w:val="0A3B412B"/>
    <w:rsid w:val="0E6024DC"/>
    <w:rsid w:val="1009308B"/>
    <w:rsid w:val="14144B95"/>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0681189"/>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186"/>
    <w:qFormat/>
    <w:locked/>
    <w:uiPriority w:val="0"/>
    <w:pPr>
      <w:keepNext/>
      <w:spacing w:before="227" w:line="240" w:lineRule="exact"/>
      <w:ind w:firstLine="420"/>
      <w:outlineLvl w:val="0"/>
    </w:pPr>
    <w:rPr>
      <w:color w:val="000000"/>
      <w:sz w:val="24"/>
    </w:rPr>
  </w:style>
  <w:style w:type="paragraph" w:styleId="5">
    <w:name w:val="heading 2"/>
    <w:basedOn w:val="1"/>
    <w:next w:val="1"/>
    <w:link w:val="163"/>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0"/>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05"/>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5"/>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6"/>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6"/>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First Indent"/>
    <w:basedOn w:val="1"/>
    <w:link w:val="139"/>
    <w:uiPriority w:val="0"/>
    <w:pPr>
      <w:spacing w:after="120"/>
      <w:ind w:firstLine="420" w:firstLineChars="100"/>
    </w:pPr>
  </w:style>
  <w:style w:type="paragraph" w:styleId="3">
    <w:name w:val="macro"/>
    <w:basedOn w:val="1"/>
    <w:link w:val="147"/>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7"/>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29"/>
    <w:uiPriority w:val="0"/>
    <w:pPr>
      <w:shd w:val="clear" w:color="auto" w:fill="000080"/>
    </w:pPr>
  </w:style>
  <w:style w:type="paragraph" w:styleId="27">
    <w:name w:val="annotation text"/>
    <w:basedOn w:val="1"/>
    <w:link w:val="172"/>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7"/>
    <w:uiPriority w:val="0"/>
    <w:pPr>
      <w:spacing w:after="120"/>
    </w:pPr>
    <w:rPr>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2"/>
    <w:qFormat/>
    <w:uiPriority w:val="0"/>
    <w:rPr>
      <w:sz w:val="20"/>
    </w:rPr>
  </w:style>
  <w:style w:type="paragraph" w:styleId="32">
    <w:name w:val="Body Text Indent"/>
    <w:basedOn w:val="1"/>
    <w:link w:val="177"/>
    <w:qFormat/>
    <w:uiPriority w:val="0"/>
    <w:pPr>
      <w:ind w:firstLine="576"/>
    </w:pPr>
    <w:rPr>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0"/>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5"/>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1"/>
    <w:uiPriority w:val="0"/>
    <w:pPr>
      <w:autoSpaceDE w:val="0"/>
      <w:autoSpaceDN w:val="0"/>
      <w:adjustRightInd w:val="0"/>
      <w:textAlignment w:val="baseline"/>
    </w:pPr>
    <w:rPr>
      <w:rFonts w:ascii="Arial" w:hAnsi="Arial"/>
    </w:rPr>
  </w:style>
  <w:style w:type="paragraph" w:styleId="46">
    <w:name w:val="Body Text Indent 2"/>
    <w:basedOn w:val="1"/>
    <w:link w:val="155"/>
    <w:uiPriority w:val="0"/>
    <w:pPr>
      <w:autoSpaceDE w:val="0"/>
      <w:autoSpaceDN w:val="0"/>
      <w:adjustRightInd w:val="0"/>
      <w:spacing w:line="360" w:lineRule="auto"/>
      <w:ind w:left="1080"/>
      <w:textAlignment w:val="baseline"/>
    </w:pPr>
  </w:style>
  <w:style w:type="paragraph" w:styleId="47">
    <w:name w:val="endnote text"/>
    <w:basedOn w:val="48"/>
    <w:link w:val="148"/>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5"/>
    <w:unhideWhenUsed/>
    <w:qFormat/>
    <w:uiPriority w:val="0"/>
    <w:rPr>
      <w:sz w:val="18"/>
      <w:szCs w:val="18"/>
    </w:rPr>
  </w:style>
  <w:style w:type="paragraph" w:styleId="50">
    <w:name w:val="footer"/>
    <w:basedOn w:val="1"/>
    <w:link w:val="185"/>
    <w:qFormat/>
    <w:uiPriority w:val="0"/>
    <w:pPr>
      <w:tabs>
        <w:tab w:val="center" w:pos="4153"/>
        <w:tab w:val="right" w:pos="8306"/>
      </w:tabs>
      <w:snapToGrid w:val="0"/>
      <w:jc w:val="left"/>
    </w:pPr>
    <w:rPr>
      <w:kern w:val="0"/>
      <w:sz w:val="18"/>
      <w:szCs w:val="18"/>
    </w:rPr>
  </w:style>
  <w:style w:type="paragraph" w:styleId="51">
    <w:name w:val="header"/>
    <w:basedOn w:val="1"/>
    <w:link w:val="195"/>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6"/>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8"/>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8"/>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0"/>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38"/>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link w:val="74"/>
    <w:uiPriority w:val="0"/>
    <w:rPr>
      <w:rFonts w:ascii="Times New Roman" w:hAnsi="Times New Roman"/>
      <w:b/>
      <w:kern w:val="2"/>
      <w:sz w:val="21"/>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正文文本 3 Char"/>
    <w:link w:val="29"/>
    <w:uiPriority w:val="0"/>
    <w:rPr>
      <w:kern w:val="2"/>
      <w:sz w:val="16"/>
      <w:szCs w:val="16"/>
    </w:rPr>
  </w:style>
  <w:style w:type="character" w:customStyle="1" w:styleId="98">
    <w:name w:val="正文文本 2 Char"/>
    <w:link w:val="67"/>
    <w:qFormat/>
    <w:uiPriority w:val="0"/>
    <w:rPr>
      <w:kern w:val="2"/>
      <w:sz w:val="21"/>
    </w:rPr>
  </w:style>
  <w:style w:type="character" w:customStyle="1" w:styleId="99">
    <w:name w:val="标题 5 Char"/>
    <w:link w:val="8"/>
    <w:uiPriority w:val="0"/>
    <w:rPr>
      <w:rFonts w:ascii="Times New Roman" w:hAnsi="Times New Roman"/>
      <w:b/>
      <w:kern w:val="2"/>
      <w:sz w:val="28"/>
    </w:rPr>
  </w:style>
  <w:style w:type="character" w:customStyle="1" w:styleId="100">
    <w:name w:val="明显参考1"/>
    <w:qFormat/>
    <w:uiPriority w:val="99"/>
    <w:rPr>
      <w:rFonts w:cs="Times New Roman"/>
      <w:b/>
      <w:bCs/>
      <w:smallCaps/>
      <w:color w:val="C0504D"/>
      <w:spacing w:val="5"/>
      <w:u w:val="single"/>
    </w:rPr>
  </w:style>
  <w:style w:type="character" w:customStyle="1" w:styleId="101">
    <w:name w:val="Lincer表格样式 Char Char"/>
    <w:link w:val="102"/>
    <w:uiPriority w:val="0"/>
    <w:rPr>
      <w:kern w:val="2"/>
      <w:sz w:val="21"/>
    </w:rPr>
  </w:style>
  <w:style w:type="paragraph" w:customStyle="1" w:styleId="102">
    <w:name w:val="Lincer表格样式"/>
    <w:basedOn w:val="1"/>
    <w:link w:val="101"/>
    <w:uiPriority w:val="0"/>
    <w:pPr>
      <w:ind w:left="344" w:hanging="344" w:hangingChars="164"/>
    </w:pPr>
  </w:style>
  <w:style w:type="character" w:customStyle="1" w:styleId="103">
    <w:name w:val="附录三 Char Char"/>
    <w:link w:val="104"/>
    <w:uiPriority w:val="0"/>
    <w:rPr>
      <w:rFonts w:ascii="E-F1" w:eastAsia="黑体"/>
      <w:kern w:val="21"/>
      <w:sz w:val="21"/>
    </w:rPr>
  </w:style>
  <w:style w:type="paragraph" w:customStyle="1" w:styleId="104">
    <w:name w:val="附录三"/>
    <w:basedOn w:val="1"/>
    <w:link w:val="103"/>
    <w:uiPriority w:val="0"/>
    <w:pPr>
      <w:tabs>
        <w:tab w:val="center" w:pos="4706"/>
        <w:tab w:val="right" w:pos="9072"/>
      </w:tabs>
      <w:spacing w:before="120" w:after="60" w:line="312" w:lineRule="exact"/>
    </w:pPr>
    <w:rPr>
      <w:rFonts w:ascii="E-F1" w:eastAsia="黑体"/>
      <w:kern w:val="21"/>
    </w:rPr>
  </w:style>
  <w:style w:type="character" w:customStyle="1" w:styleId="105">
    <w:name w:val="标题 4 Char"/>
    <w:link w:val="7"/>
    <w:uiPriority w:val="0"/>
    <w:rPr>
      <w:rFonts w:ascii="Times New Roman" w:hAnsi="Times New Roman"/>
      <w:kern w:val="2"/>
      <w:sz w:val="18"/>
      <w:szCs w:val="18"/>
    </w:rPr>
  </w:style>
  <w:style w:type="character" w:customStyle="1" w:styleId="106">
    <w:name w:val="科东_正文 Char Char"/>
    <w:link w:val="107"/>
    <w:uiPriority w:val="0"/>
    <w:rPr>
      <w:kern w:val="2"/>
      <w:sz w:val="24"/>
    </w:rPr>
  </w:style>
  <w:style w:type="paragraph" w:customStyle="1" w:styleId="107">
    <w:name w:val="科东_正文"/>
    <w:basedOn w:val="1"/>
    <w:link w:val="106"/>
    <w:uiPriority w:val="0"/>
    <w:pPr>
      <w:spacing w:line="360" w:lineRule="auto"/>
      <w:ind w:firstLine="200" w:firstLineChars="200"/>
    </w:pPr>
    <w:rPr>
      <w:sz w:val="24"/>
    </w:rPr>
  </w:style>
  <w:style w:type="character" w:customStyle="1" w:styleId="108">
    <w:name w:val="正文文本缩进 3 Char"/>
    <w:link w:val="61"/>
    <w:uiPriority w:val="0"/>
    <w:rPr>
      <w:rFonts w:ascii="Times New Roman" w:hAnsi="Times New Roman"/>
      <w:kern w:val="2"/>
      <w:sz w:val="24"/>
    </w:rPr>
  </w:style>
  <w:style w:type="character" w:customStyle="1" w:styleId="109">
    <w:name w:val="样式 宋体"/>
    <w:uiPriority w:val="0"/>
    <w:rPr>
      <w:rFonts w:ascii="宋体" w:eastAsia="宋体"/>
      <w:sz w:val="18"/>
    </w:rPr>
  </w:style>
  <w:style w:type="character" w:customStyle="1" w:styleId="110">
    <w:name w:val="HTML 地址 Char"/>
    <w:link w:val="38"/>
    <w:uiPriority w:val="0"/>
    <w:rPr>
      <w:rFonts w:ascii="Times New Roman" w:hAnsi="Times New Roman"/>
      <w:i/>
      <w:kern w:val="2"/>
      <w:sz w:val="21"/>
    </w:rPr>
  </w:style>
  <w:style w:type="character" w:customStyle="1" w:styleId="111">
    <w:name w:val="样式1 Char"/>
    <w:link w:val="112"/>
    <w:locked/>
    <w:uiPriority w:val="0"/>
    <w:rPr>
      <w:rFonts w:ascii="Times New Roman" w:hAnsi="Times New Roman"/>
      <w:kern w:val="2"/>
      <w:sz w:val="28"/>
      <w:szCs w:val="24"/>
    </w:rPr>
  </w:style>
  <w:style w:type="paragraph" w:customStyle="1" w:styleId="112">
    <w:name w:val="样式1"/>
    <w:basedOn w:val="1"/>
    <w:link w:val="111"/>
    <w:uiPriority w:val="0"/>
    <w:rPr>
      <w:sz w:val="28"/>
      <w:szCs w:val="24"/>
    </w:rPr>
  </w:style>
  <w:style w:type="character" w:customStyle="1" w:styleId="113">
    <w:name w:val="Reference"/>
    <w:uiPriority w:val="0"/>
    <w:rPr>
      <w:rFonts w:ascii="Arial" w:hAnsi="Arial"/>
      <w:sz w:val="20"/>
      <w:lang w:val="en-US" w:eastAsia="zh-CN"/>
    </w:rPr>
  </w:style>
  <w:style w:type="character" w:customStyle="1" w:styleId="114">
    <w:name w:val="样式2 Char Char"/>
    <w:link w:val="115"/>
    <w:uiPriority w:val="0"/>
    <w:rPr>
      <w:rFonts w:ascii="Times New Roman" w:hAnsi="Times New Roman"/>
      <w:kern w:val="2"/>
      <w:sz w:val="28"/>
      <w:szCs w:val="24"/>
    </w:rPr>
  </w:style>
  <w:style w:type="paragraph" w:customStyle="1" w:styleId="115">
    <w:name w:val="样式2"/>
    <w:basedOn w:val="112"/>
    <w:link w:val="114"/>
    <w:uiPriority w:val="0"/>
  </w:style>
  <w:style w:type="character" w:customStyle="1" w:styleId="116">
    <w:name w:val="发布"/>
    <w:uiPriority w:val="0"/>
    <w:rPr>
      <w:rFonts w:ascii="黑体" w:eastAsia="黑体"/>
      <w:spacing w:val="22"/>
      <w:w w:val="100"/>
      <w:position w:val="3"/>
      <w:sz w:val="28"/>
    </w:rPr>
  </w:style>
  <w:style w:type="character" w:customStyle="1" w:styleId="117">
    <w:name w:val="short_text"/>
    <w:basedOn w:val="77"/>
    <w:uiPriority w:val="0"/>
  </w:style>
  <w:style w:type="character" w:customStyle="1" w:styleId="118">
    <w:name w:val="标题 Char"/>
    <w:link w:val="58"/>
    <w:uiPriority w:val="0"/>
    <w:rPr>
      <w:rFonts w:ascii="Arial" w:hAnsi="Arial"/>
      <w:b/>
      <w:kern w:val="2"/>
      <w:sz w:val="32"/>
    </w:rPr>
  </w:style>
  <w:style w:type="character" w:customStyle="1" w:styleId="119">
    <w:name w:val="样式1 样式 标题 2 + 段前: 0行 Char Char"/>
    <w:uiPriority w:val="0"/>
    <w:rPr>
      <w:rFonts w:eastAsia="黑体"/>
      <w:b/>
      <w:kern w:val="2"/>
      <w:sz w:val="21"/>
      <w:lang w:val="en-US" w:eastAsia="zh-CN"/>
    </w:rPr>
  </w:style>
  <w:style w:type="character" w:customStyle="1" w:styleId="120">
    <w:name w:val="msoins"/>
    <w:uiPriority w:val="0"/>
    <w:rPr>
      <w:u w:val="single"/>
    </w:rPr>
  </w:style>
  <w:style w:type="character" w:customStyle="1" w:styleId="121">
    <w:name w:val="样式 a首行缩进:  2 字符 段前: 0 行 Char Char"/>
    <w:link w:val="122"/>
    <w:uiPriority w:val="0"/>
    <w:rPr>
      <w:sz w:val="21"/>
    </w:rPr>
  </w:style>
  <w:style w:type="paragraph" w:customStyle="1" w:styleId="122">
    <w:name w:val="样式 a首行缩进:  2 字符 段前: 0 行"/>
    <w:basedOn w:val="1"/>
    <w:link w:val="121"/>
    <w:uiPriority w:val="0"/>
    <w:pPr>
      <w:adjustRightInd w:val="0"/>
      <w:spacing w:afterLines="50"/>
      <w:jc w:val="left"/>
      <w:textAlignment w:val="baseline"/>
    </w:pPr>
    <w:rPr>
      <w:kern w:val="0"/>
    </w:rPr>
  </w:style>
  <w:style w:type="character" w:customStyle="1" w:styleId="123">
    <w:name w:val="样式 正文缩进正文缩进 Char正文（首行缩进两字） Char Char正文（首行缩进两字） Char1正文（首行缩进两...1 Char Char"/>
    <w:link w:val="124"/>
    <w:uiPriority w:val="0"/>
    <w:rPr>
      <w:kern w:val="2"/>
      <w:sz w:val="21"/>
    </w:rPr>
  </w:style>
  <w:style w:type="paragraph" w:customStyle="1" w:styleId="124">
    <w:name w:val="样式 正文缩进正文缩进 Char正文（首行缩进两字） Char Char正文（首行缩进两字） Char1正文（首行缩进两...1"/>
    <w:basedOn w:val="1"/>
    <w:link w:val="123"/>
    <w:uiPriority w:val="0"/>
    <w:pPr>
      <w:spacing w:beforeLines="10" w:line="312" w:lineRule="auto"/>
      <w:ind w:firstLine="200" w:firstLineChars="200"/>
    </w:pPr>
  </w:style>
  <w:style w:type="character" w:customStyle="1" w:styleId="125">
    <w:name w:val="纯文本 Char"/>
    <w:link w:val="42"/>
    <w:uiPriority w:val="0"/>
    <w:rPr>
      <w:rFonts w:ascii="宋体" w:hAnsi="Courier New"/>
      <w:kern w:val="2"/>
      <w:sz w:val="21"/>
    </w:rPr>
  </w:style>
  <w:style w:type="character" w:customStyle="1" w:styleId="126">
    <w:name w:val="标题 8 Char"/>
    <w:link w:val="11"/>
    <w:uiPriority w:val="0"/>
    <w:rPr>
      <w:rFonts w:ascii="宋体" w:hAnsi="Times New Roman"/>
      <w:b/>
      <w:sz w:val="21"/>
    </w:rPr>
  </w:style>
  <w:style w:type="character" w:customStyle="1" w:styleId="12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28">
    <w:name w:val="批注文字 Char1"/>
    <w:uiPriority w:val="0"/>
    <w:rPr>
      <w:sz w:val="24"/>
    </w:rPr>
  </w:style>
  <w:style w:type="character" w:customStyle="1" w:styleId="129">
    <w:name w:val="文档结构图 Char"/>
    <w:link w:val="26"/>
    <w:uiPriority w:val="0"/>
    <w:rPr>
      <w:rFonts w:ascii="Times New Roman" w:hAnsi="Times New Roman"/>
      <w:kern w:val="2"/>
      <w:sz w:val="21"/>
      <w:shd w:val="clear" w:color="auto" w:fill="000080"/>
    </w:rPr>
  </w:style>
  <w:style w:type="character" w:customStyle="1" w:styleId="130">
    <w:name w:val="HTML 预设格式 Char"/>
    <w:link w:val="69"/>
    <w:uiPriority w:val="0"/>
    <w:rPr>
      <w:rFonts w:ascii="Courier New" w:hAnsi="Courier New"/>
      <w:kern w:val="2"/>
    </w:rPr>
  </w:style>
  <w:style w:type="character" w:customStyle="1" w:styleId="131">
    <w:name w:val="style251"/>
    <w:uiPriority w:val="0"/>
    <w:rPr>
      <w:rFonts w:eastAsia="宋体"/>
      <w:kern w:val="2"/>
      <w:sz w:val="21"/>
      <w:lang w:val="en-US" w:eastAsia="zh-CN"/>
    </w:rPr>
  </w:style>
  <w:style w:type="character" w:customStyle="1" w:styleId="132">
    <w:name w:val="样式1 悬挂缩进: 4 字符 段前: 0.1 行，小五 Char Char"/>
    <w:link w:val="133"/>
    <w:uiPriority w:val="0"/>
    <w:rPr>
      <w:kern w:val="2"/>
      <w:sz w:val="18"/>
    </w:rPr>
  </w:style>
  <w:style w:type="paragraph" w:customStyle="1" w:styleId="133">
    <w:name w:val="样式1 悬挂缩进: 4 字符 段前: 0.1 行，小五"/>
    <w:basedOn w:val="1"/>
    <w:link w:val="132"/>
    <w:uiPriority w:val="0"/>
    <w:pPr>
      <w:spacing w:beforeLines="10" w:line="312" w:lineRule="auto"/>
      <w:ind w:left="400" w:leftChars="400"/>
    </w:pPr>
    <w:rPr>
      <w:sz w:val="18"/>
    </w:rPr>
  </w:style>
  <w:style w:type="character" w:customStyle="1" w:styleId="13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5"/>
    <w:uiPriority w:val="0"/>
    <w:rPr>
      <w:rFonts w:ascii="Times New Roman" w:hAnsi="Times New Roman"/>
      <w:kern w:val="2"/>
      <w:sz w:val="28"/>
      <w:szCs w:val="24"/>
    </w:rPr>
  </w:style>
  <w:style w:type="paragraph" w:customStyle="1" w:styleId="135">
    <w:name w:val="正文1"/>
    <w:basedOn w:val="112"/>
    <w:link w:val="134"/>
    <w:uiPriority w:val="0"/>
  </w:style>
  <w:style w:type="character" w:customStyle="1" w:styleId="136">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7">
    <w:name w:val="注释标题 Char"/>
    <w:link w:val="18"/>
    <w:uiPriority w:val="0"/>
    <w:rPr>
      <w:rFonts w:ascii="Arial" w:hAnsi="Arial" w:eastAsia="黑体"/>
      <w:kern w:val="2"/>
      <w:sz w:val="21"/>
    </w:rPr>
  </w:style>
  <w:style w:type="character" w:customStyle="1" w:styleId="138">
    <w:name w:val="批注主题 Char"/>
    <w:link w:val="73"/>
    <w:qFormat/>
    <w:uiPriority w:val="0"/>
    <w:rPr>
      <w:b/>
      <w:bCs/>
      <w:kern w:val="2"/>
      <w:sz w:val="21"/>
    </w:rPr>
  </w:style>
  <w:style w:type="character" w:customStyle="1" w:styleId="139">
    <w:name w:val="正文首行缩进 Char"/>
    <w:link w:val="2"/>
    <w:uiPriority w:val="0"/>
    <w:rPr>
      <w:rFonts w:ascii="Times New Roman" w:hAnsi="Times New Roman"/>
      <w:kern w:val="2"/>
      <w:sz w:val="21"/>
    </w:rPr>
  </w:style>
  <w:style w:type="character" w:customStyle="1" w:styleId="140">
    <w:name w:val="样式 样式 正文缩进正文缩进 Char正文（首行缩进两字） Char Char正文（首行缩进两字） Char1正文（首行缩进两.... Char Char"/>
    <w:basedOn w:val="123"/>
    <w:link w:val="141"/>
    <w:uiPriority w:val="0"/>
  </w:style>
  <w:style w:type="paragraph" w:customStyle="1" w:styleId="141">
    <w:name w:val="样式 样式 正文缩进正文缩进 Char正文（首行缩进两字） Char Char正文（首行缩进两字） Char1正文（首行缩进两...."/>
    <w:basedOn w:val="124"/>
    <w:link w:val="140"/>
    <w:uiPriority w:val="0"/>
    <w:pPr>
      <w:spacing w:line="300" w:lineRule="auto"/>
    </w:pPr>
    <w:rPr>
      <w:rFonts w:ascii="Calibri" w:hAnsi="Calibri"/>
    </w:rPr>
  </w:style>
  <w:style w:type="character" w:customStyle="1" w:styleId="142">
    <w:name w:val="正文文本 Char"/>
    <w:link w:val="31"/>
    <w:uiPriority w:val="0"/>
    <w:rPr>
      <w:rFonts w:ascii="Times New Roman" w:hAnsi="Times New Roman"/>
      <w:kern w:val="2"/>
    </w:rPr>
  </w:style>
  <w:style w:type="character" w:customStyle="1" w:styleId="143">
    <w:name w:val="段 Char Char"/>
    <w:link w:val="144"/>
    <w:uiPriority w:val="0"/>
    <w:rPr>
      <w:rFonts w:ascii="宋体"/>
      <w:sz w:val="21"/>
      <w:lang w:val="en-US" w:eastAsia="zh-CN" w:bidi="ar-SA"/>
    </w:rPr>
  </w:style>
  <w:style w:type="paragraph" w:customStyle="1" w:styleId="144">
    <w:name w:val="段"/>
    <w:link w:val="143"/>
    <w:uiPriority w:val="0"/>
    <w:pPr>
      <w:autoSpaceDE w:val="0"/>
      <w:autoSpaceDN w:val="0"/>
      <w:ind w:firstLine="200" w:firstLineChars="200"/>
      <w:jc w:val="both"/>
    </w:pPr>
    <w:rPr>
      <w:rFonts w:ascii="宋体"/>
      <w:sz w:val="21"/>
      <w:lang w:val="en-US" w:eastAsia="zh-CN" w:bidi="ar-SA"/>
    </w:rPr>
  </w:style>
  <w:style w:type="character" w:customStyle="1" w:styleId="145">
    <w:name w:val="标题 6 Char"/>
    <w:link w:val="9"/>
    <w:uiPriority w:val="0"/>
    <w:rPr>
      <w:rFonts w:ascii="Arial" w:hAnsi="Arial" w:eastAsia="黑体"/>
      <w:b/>
      <w:kern w:val="2"/>
      <w:sz w:val="24"/>
    </w:rPr>
  </w:style>
  <w:style w:type="character" w:customStyle="1" w:styleId="146">
    <w:name w:val="脚注文本 Char"/>
    <w:link w:val="59"/>
    <w:uiPriority w:val="0"/>
    <w:rPr>
      <w:rFonts w:ascii="Times New Roman" w:hAnsi="Times New Roman"/>
      <w:kern w:val="2"/>
      <w:sz w:val="18"/>
    </w:rPr>
  </w:style>
  <w:style w:type="character" w:customStyle="1" w:styleId="147">
    <w:name w:val="宏文本 Char"/>
    <w:link w:val="3"/>
    <w:uiPriority w:val="0"/>
    <w:rPr>
      <w:rFonts w:ascii="Courier New" w:hAnsi="Courier New"/>
      <w:sz w:val="21"/>
    </w:rPr>
  </w:style>
  <w:style w:type="character" w:customStyle="1" w:styleId="148">
    <w:name w:val="尾注文本 Char"/>
    <w:link w:val="47"/>
    <w:uiPriority w:val="0"/>
    <w:rPr>
      <w:rFonts w:ascii="Arial" w:hAnsi="Arial"/>
      <w:sz w:val="18"/>
    </w:rPr>
  </w:style>
  <w:style w:type="character" w:customStyle="1" w:styleId="149">
    <w:name w:val="short_text1"/>
    <w:uiPriority w:val="0"/>
    <w:rPr>
      <w:sz w:val="29"/>
    </w:rPr>
  </w:style>
  <w:style w:type="character" w:customStyle="1" w:styleId="150">
    <w:name w:val="样式 正文（首行缩进两字） Char + Times New Roman Char Char"/>
    <w:basedOn w:val="151"/>
    <w:link w:val="153"/>
    <w:uiPriority w:val="0"/>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paragraph" w:customStyle="1" w:styleId="153">
    <w:name w:val="样式 正文（首行缩进两字） Char + Times New Roman"/>
    <w:basedOn w:val="152"/>
    <w:link w:val="150"/>
    <w:uiPriority w:val="0"/>
    <w:pPr>
      <w:ind w:firstLine="0" w:firstLineChars="0"/>
      <w:jc w:val="center"/>
    </w:pPr>
    <w:rPr>
      <w:rFonts w:ascii="Calibri" w:hAnsi="Calibri"/>
    </w:rPr>
  </w:style>
  <w:style w:type="character" w:customStyle="1" w:styleId="154">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5">
    <w:name w:val="正文文本缩进 2 Char"/>
    <w:link w:val="46"/>
    <w:uiPriority w:val="0"/>
    <w:rPr>
      <w:rFonts w:ascii="Times New Roman" w:hAnsi="Times New Roman"/>
      <w:kern w:val="2"/>
      <w:sz w:val="21"/>
    </w:rPr>
  </w:style>
  <w:style w:type="character" w:customStyle="1" w:styleId="156">
    <w:name w:val="标题 7 Char"/>
    <w:link w:val="10"/>
    <w:uiPriority w:val="0"/>
    <w:rPr>
      <w:rFonts w:ascii="Times New Roman" w:hAnsi="Times New Roman"/>
      <w:b/>
      <w:kern w:val="2"/>
      <w:sz w:val="24"/>
    </w:rPr>
  </w:style>
  <w:style w:type="character" w:customStyle="1" w:styleId="157">
    <w:name w:val="样式 样式 Times New Roman 首行缩进:  0.74 厘米 段前: 0行 行距1.15 + (符号) Tim... Char Char"/>
    <w:basedOn w:val="158"/>
    <w:link w:val="160"/>
    <w:uiPriority w:val="0"/>
  </w:style>
  <w:style w:type="character" w:customStyle="1" w:styleId="158">
    <w:name w:val="样式 Times New Roman 首行缩进:  0.74 厘米 段前: 0.1 行 行距1.15 Char Char"/>
    <w:link w:val="159"/>
    <w:uiPriority w:val="0"/>
    <w:rPr>
      <w:rFonts w:hAnsi="宋体"/>
      <w:kern w:val="2"/>
      <w:sz w:val="21"/>
    </w:rPr>
  </w:style>
  <w:style w:type="paragraph" w:customStyle="1" w:styleId="159">
    <w:name w:val="样式 Times New Roman 首行缩进:  0.74 厘米 段前: 0.1 行 行距1.15"/>
    <w:basedOn w:val="1"/>
    <w:link w:val="158"/>
    <w:uiPriority w:val="0"/>
    <w:pPr>
      <w:spacing w:line="276" w:lineRule="auto"/>
      <w:ind w:firstLine="420"/>
    </w:pPr>
    <w:rPr>
      <w:rFonts w:hAnsi="宋体"/>
    </w:rPr>
  </w:style>
  <w:style w:type="paragraph" w:customStyle="1" w:styleId="160">
    <w:name w:val="样式 样式 Times New Roman 首行缩进:  0.74 厘米 段前: 0行 行距1.15 + (符号) Tim..."/>
    <w:basedOn w:val="159"/>
    <w:link w:val="157"/>
    <w:uiPriority w:val="0"/>
  </w:style>
  <w:style w:type="character" w:customStyle="1" w:styleId="161">
    <w:name w:val="表头 Char"/>
    <w:link w:val="162"/>
    <w:uiPriority w:val="0"/>
    <w:rPr>
      <w:rFonts w:ascii="Times New Roman" w:hAnsi="Times New Roman" w:eastAsia="黑体"/>
      <w:kern w:val="2"/>
      <w:sz w:val="21"/>
      <w:szCs w:val="21"/>
    </w:rPr>
  </w:style>
  <w:style w:type="paragraph" w:customStyle="1" w:styleId="162">
    <w:name w:val="表头"/>
    <w:basedOn w:val="1"/>
    <w:link w:val="161"/>
    <w:uiPriority w:val="0"/>
    <w:pPr>
      <w:topLinePunct/>
      <w:spacing w:before="160" w:after="60"/>
      <w:jc w:val="center"/>
    </w:pPr>
    <w:rPr>
      <w:rFonts w:eastAsia="黑体"/>
      <w:szCs w:val="21"/>
    </w:rPr>
  </w:style>
  <w:style w:type="character" w:customStyle="1" w:styleId="163">
    <w:name w:val="标题 2 Char"/>
    <w:link w:val="5"/>
    <w:uiPriority w:val="0"/>
    <w:rPr>
      <w:rFonts w:ascii="Arial" w:hAnsi="Arial" w:eastAsia="黑体"/>
      <w:sz w:val="32"/>
    </w:rPr>
  </w:style>
  <w:style w:type="character" w:customStyle="1" w:styleId="164">
    <w:name w:val="Char Char2"/>
    <w:uiPriority w:val="0"/>
    <w:rPr>
      <w:rFonts w:ascii="Arial" w:hAnsi="Arial" w:eastAsia="宋体"/>
      <w:kern w:val="2"/>
      <w:sz w:val="21"/>
      <w:lang w:val="en-US" w:eastAsia="zh-CN"/>
    </w:rPr>
  </w:style>
  <w:style w:type="character" w:customStyle="1" w:styleId="165">
    <w:name w:val="批注框文本 Char"/>
    <w:link w:val="49"/>
    <w:qFormat/>
    <w:uiPriority w:val="0"/>
    <w:rPr>
      <w:kern w:val="2"/>
      <w:sz w:val="18"/>
      <w:szCs w:val="18"/>
    </w:rPr>
  </w:style>
  <w:style w:type="character" w:customStyle="1" w:styleId="166">
    <w:name w:val="_标准条文 Char Char"/>
    <w:link w:val="167"/>
    <w:uiPriority w:val="0"/>
    <w:rPr>
      <w:rFonts w:ascii="Arial" w:hAnsi="Arial"/>
      <w:kern w:val="2"/>
      <w:sz w:val="21"/>
    </w:rPr>
  </w:style>
  <w:style w:type="paragraph" w:customStyle="1" w:styleId="167">
    <w:name w:val="_标准条文"/>
    <w:basedOn w:val="1"/>
    <w:link w:val="166"/>
    <w:uiPriority w:val="0"/>
    <w:pPr>
      <w:overflowPunct w:val="0"/>
      <w:snapToGrid w:val="0"/>
      <w:spacing w:line="276" w:lineRule="auto"/>
      <w:ind w:firstLine="420" w:firstLineChars="200"/>
    </w:pPr>
    <w:rPr>
      <w:rFonts w:ascii="Arial" w:hAnsi="Arial"/>
    </w:rPr>
  </w:style>
  <w:style w:type="character" w:customStyle="1" w:styleId="168">
    <w:name w:val="个人答复风格"/>
    <w:uiPriority w:val="0"/>
    <w:rPr>
      <w:rFonts w:ascii="Arial" w:hAnsi="Arial" w:eastAsia="宋体"/>
      <w:color w:val="auto"/>
      <w:sz w:val="20"/>
    </w:rPr>
  </w:style>
  <w:style w:type="character" w:customStyle="1" w:styleId="169">
    <w:name w:val="标题 1 Char Char"/>
    <w:uiPriority w:val="0"/>
    <w:rPr>
      <w:rFonts w:eastAsia="黑体"/>
      <w:kern w:val="44"/>
      <w:sz w:val="28"/>
      <w:szCs w:val="28"/>
      <w:lang w:val="en-US" w:eastAsia="zh-CN" w:bidi="ar-SA"/>
    </w:rPr>
  </w:style>
  <w:style w:type="character" w:customStyle="1" w:styleId="170">
    <w:name w:val="标题 3 Char"/>
    <w:link w:val="6"/>
    <w:qFormat/>
    <w:uiPriority w:val="0"/>
    <w:rPr>
      <w:rFonts w:ascii="宋体" w:hAnsi="宋体" w:cs="宋体"/>
      <w:b/>
      <w:bCs/>
      <w:sz w:val="27"/>
      <w:szCs w:val="27"/>
    </w:rPr>
  </w:style>
  <w:style w:type="character" w:customStyle="1" w:styleId="171">
    <w:name w:val="SoDA Field"/>
    <w:uiPriority w:val="0"/>
    <w:rPr>
      <w:color w:val="0000FF"/>
    </w:rPr>
  </w:style>
  <w:style w:type="character" w:customStyle="1" w:styleId="172">
    <w:name w:val="批注文字 Char"/>
    <w:link w:val="27"/>
    <w:qFormat/>
    <w:uiPriority w:val="0"/>
    <w:rPr>
      <w:kern w:val="2"/>
      <w:sz w:val="21"/>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样式 正文（首行缩进两字） Char + 加粗 Char Char"/>
    <w:uiPriority w:val="0"/>
    <w:rPr>
      <w:rFonts w:eastAsia="宋体"/>
      <w:b/>
      <w:kern w:val="2"/>
      <w:sz w:val="21"/>
      <w:lang w:val="en-US" w:eastAsia="zh-CN"/>
    </w:rPr>
  </w:style>
  <w:style w:type="character" w:customStyle="1" w:styleId="175">
    <w:name w:val="表头 Char Char"/>
    <w:uiPriority w:val="0"/>
    <w:rPr>
      <w:rFonts w:eastAsia="黑体"/>
      <w:kern w:val="2"/>
      <w:sz w:val="21"/>
      <w:szCs w:val="21"/>
      <w:lang w:val="en-US" w:eastAsia="zh-CN" w:bidi="ar-SA"/>
    </w:rPr>
  </w:style>
  <w:style w:type="character" w:customStyle="1" w:styleId="176">
    <w:name w:val="样式 标题 2 + 五号 Char Char"/>
    <w:uiPriority w:val="0"/>
    <w:rPr>
      <w:rFonts w:eastAsia="黑体"/>
      <w:bCs/>
      <w:kern w:val="2"/>
      <w:sz w:val="21"/>
      <w:szCs w:val="21"/>
      <w:lang w:val="en-US" w:eastAsia="zh-CN" w:bidi="ar-SA"/>
    </w:rPr>
  </w:style>
  <w:style w:type="character" w:customStyle="1" w:styleId="177">
    <w:name w:val="正文文本缩进 Char"/>
    <w:link w:val="32"/>
    <w:uiPriority w:val="0"/>
    <w:rPr>
      <w:b/>
      <w:kern w:val="2"/>
      <w:sz w:val="30"/>
    </w:rPr>
  </w:style>
  <w:style w:type="character" w:customStyle="1" w:styleId="178">
    <w:name w:val="着重强调"/>
    <w:uiPriority w:val="0"/>
    <w:rPr>
      <w:rFonts w:ascii="Arial" w:hAnsi="Arial"/>
      <w:b/>
      <w:spacing w:val="-4"/>
    </w:rPr>
  </w:style>
  <w:style w:type="character" w:customStyle="1" w:styleId="179">
    <w:name w:val="正文文本 3 Char1"/>
    <w:semiHidden/>
    <w:uiPriority w:val="99"/>
    <w:rPr>
      <w:rFonts w:ascii="Times New Roman" w:hAnsi="Times New Roman"/>
      <w:kern w:val="2"/>
      <w:sz w:val="16"/>
      <w:szCs w:val="16"/>
    </w:rPr>
  </w:style>
  <w:style w:type="character" w:customStyle="1" w:styleId="180">
    <w:name w:val="上标"/>
    <w:uiPriority w:val="0"/>
    <w:rPr>
      <w:b/>
      <w:vertAlign w:val="superscript"/>
    </w:rPr>
  </w:style>
  <w:style w:type="character" w:customStyle="1" w:styleId="181">
    <w:name w:val="日期 Char"/>
    <w:link w:val="45"/>
    <w:uiPriority w:val="0"/>
    <w:rPr>
      <w:rFonts w:ascii="Arial" w:hAnsi="Arial"/>
      <w:kern w:val="2"/>
      <w:sz w:val="21"/>
    </w:rPr>
  </w:style>
  <w:style w:type="character" w:customStyle="1" w:styleId="182">
    <w:name w:val="样式 标题 1 + 加粗 Char Char"/>
    <w:uiPriority w:val="0"/>
    <w:rPr>
      <w:rFonts w:eastAsia="黑体"/>
      <w:b/>
      <w:bCs/>
      <w:kern w:val="44"/>
      <w:sz w:val="28"/>
      <w:szCs w:val="28"/>
      <w:lang w:val="en-US" w:eastAsia="zh-CN" w:bidi="ar-SA"/>
    </w:rPr>
  </w:style>
  <w:style w:type="character" w:customStyle="1" w:styleId="183">
    <w:name w:val="样式1 Char Char"/>
    <w:uiPriority w:val="0"/>
    <w:rPr>
      <w:rFonts w:ascii="Times New Roman" w:hAnsi="Times New Roman" w:eastAsia="宋体" w:cs="宋体"/>
      <w:b/>
      <w:kern w:val="44"/>
      <w:sz w:val="52"/>
      <w:szCs w:val="52"/>
    </w:rPr>
  </w:style>
  <w:style w:type="character" w:customStyle="1" w:styleId="184">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5">
    <w:name w:val="页脚 Char"/>
    <w:link w:val="50"/>
    <w:qFormat/>
    <w:locked/>
    <w:uiPriority w:val="0"/>
    <w:rPr>
      <w:rFonts w:ascii="Times New Roman" w:hAnsi="Times New Roman" w:eastAsia="宋体" w:cs="Times New Roman"/>
      <w:sz w:val="18"/>
      <w:szCs w:val="18"/>
    </w:rPr>
  </w:style>
  <w:style w:type="character" w:customStyle="1" w:styleId="186">
    <w:name w:val="标题 1 Char"/>
    <w:link w:val="4"/>
    <w:uiPriority w:val="0"/>
    <w:rPr>
      <w:rFonts w:ascii="Times New Roman" w:hAnsi="Times New Roman"/>
      <w:color w:val="000000"/>
      <w:kern w:val="2"/>
      <w:sz w:val="24"/>
    </w:rPr>
  </w:style>
  <w:style w:type="character" w:customStyle="1" w:styleId="187">
    <w:name w:val="纯文本 Char1"/>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2"/>
    <w:link w:val="192"/>
    <w:uiPriority w:val="0"/>
    <w:rPr>
      <w:rFonts w:eastAsia="黑体"/>
    </w:rPr>
  </w:style>
  <w:style w:type="character" w:customStyle="1" w:styleId="194">
    <w:name w:val="标语"/>
    <w:uiPriority w:val="0"/>
    <w:rPr>
      <w:i/>
      <w:spacing w:val="-6"/>
      <w:sz w:val="24"/>
    </w:rPr>
  </w:style>
  <w:style w:type="character" w:customStyle="1" w:styleId="195">
    <w:name w:val="页眉 Char"/>
    <w:link w:val="51"/>
    <w:semiHidden/>
    <w:qFormat/>
    <w:locked/>
    <w:uiPriority w:val="99"/>
    <w:rPr>
      <w:rFonts w:ascii="Times New Roman" w:hAnsi="Times New Roman" w:eastAsia="宋体" w:cs="Times New Roman"/>
      <w:sz w:val="18"/>
      <w:szCs w:val="18"/>
    </w:rPr>
  </w:style>
  <w:style w:type="character" w:customStyle="1" w:styleId="196">
    <w:name w:val="朱2 Char Char"/>
    <w:basedOn w:val="114"/>
    <w:link w:val="197"/>
    <w:uiPriority w:val="0"/>
  </w:style>
  <w:style w:type="paragraph" w:customStyle="1" w:styleId="197">
    <w:name w:val="朱2"/>
    <w:basedOn w:val="115"/>
    <w:link w:val="196"/>
    <w:uiPriority w:val="0"/>
    <w:pPr>
      <w:topLinePunct/>
      <w:adjustRightInd w:val="0"/>
      <w:spacing w:line="312" w:lineRule="exact"/>
    </w:pPr>
  </w:style>
  <w:style w:type="character" w:customStyle="1" w:styleId="198">
    <w:name w:val="副标题 Char"/>
    <w:link w:val="57"/>
    <w:uiPriority w:val="0"/>
    <w:rPr>
      <w:rFonts w:ascii="Arial" w:hAnsi="Arial" w:eastAsia="黑体"/>
      <w:kern w:val="2"/>
      <w:sz w:val="48"/>
    </w:rPr>
  </w:style>
  <w:style w:type="character" w:customStyle="1" w:styleId="199">
    <w:name w:val="标题 9 Char"/>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link w:val="207"/>
    <w:uiPriority w:val="0"/>
    <w:rPr>
      <w:rFonts w:eastAsia="黑体"/>
      <w:b/>
      <w:kern w:val="2"/>
      <w:sz w:val="21"/>
      <w:lang w:val="en-US" w:eastAsia="zh-CN"/>
    </w:rPr>
  </w:style>
  <w:style w:type="paragraph" w:customStyle="1" w:styleId="207">
    <w:name w:val="样式 样式 样式 标题 2 + 段前: 0.1 行 + 段前: 0.1 行 + Times New Roman"/>
    <w:basedOn w:val="208"/>
    <w:link w:val="206"/>
    <w:uiPriority w:val="0"/>
    <w:pPr>
      <w:tabs>
        <w:tab w:val="left" w:pos="500"/>
      </w:tabs>
      <w:spacing w:beforeLines="50" w:afterLines="50" w:line="240" w:lineRule="auto"/>
    </w:pPr>
    <w:rPr>
      <w:rFonts w:eastAsia="黑体"/>
      <w:lang w:val="en-US" w:eastAsia="zh-CN"/>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4"/>
    <w:uiPriority w:val="0"/>
    <w:pPr>
      <w:outlineLvl w:val="4"/>
    </w:pPr>
  </w:style>
  <w:style w:type="paragraph" w:customStyle="1" w:styleId="212">
    <w:name w:val="附录二级条标题"/>
    <w:basedOn w:val="213"/>
    <w:next w:val="144"/>
    <w:uiPriority w:val="0"/>
    <w:pPr>
      <w:outlineLvl w:val="3"/>
    </w:pPr>
  </w:style>
  <w:style w:type="paragraph" w:customStyle="1" w:styleId="213">
    <w:name w:val="附录一级条标题"/>
    <w:basedOn w:val="214"/>
    <w:next w:val="144"/>
    <w:uiPriority w:val="0"/>
    <w:pPr>
      <w:autoSpaceDN w:val="0"/>
      <w:spacing w:beforeLines="0" w:afterLines="0"/>
      <w:outlineLvl w:val="2"/>
    </w:pPr>
  </w:style>
  <w:style w:type="paragraph" w:customStyle="1" w:styleId="214">
    <w:name w:val="附录章标题"/>
    <w:next w:val="14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4"/>
    <w:uiPriority w:val="0"/>
    <w:pPr>
      <w:tabs>
        <w:tab w:val="left" w:pos="-1080"/>
      </w:tabs>
      <w:outlineLvl w:val="6"/>
    </w:pPr>
  </w:style>
  <w:style w:type="paragraph" w:customStyle="1" w:styleId="226">
    <w:name w:val="四级条标题"/>
    <w:basedOn w:val="227"/>
    <w:next w:val="144"/>
    <w:uiPriority w:val="0"/>
    <w:pPr>
      <w:tabs>
        <w:tab w:val="left" w:pos="-1080"/>
      </w:tabs>
      <w:outlineLvl w:val="5"/>
    </w:pPr>
  </w:style>
  <w:style w:type="paragraph" w:customStyle="1" w:styleId="227">
    <w:name w:val="三级条标题"/>
    <w:basedOn w:val="228"/>
    <w:next w:val="14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4"/>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4"/>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36">
    <w:name w:val="附录表标题"/>
    <w:next w:val="14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2"/>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52">
    <w:name w:val="样式1 样式 标题 5 + 段前: 0 行"/>
    <w:basedOn w:val="253"/>
    <w:next w:val="1"/>
    <w:uiPriority w:val="0"/>
    <w:pPr>
      <w:tabs>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2"/>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73">
    <w:name w:val="引言一级条标题"/>
    <w:basedOn w:val="1"/>
    <w:next w:val="144"/>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2"/>
    <w:uiPriority w:val="0"/>
    <w:pPr>
      <w:spacing w:before="24" w:afterLines="10"/>
      <w:ind w:firstLine="200"/>
    </w:pPr>
    <w:rPr>
      <w:color w:val="000000"/>
    </w:rPr>
  </w:style>
  <w:style w:type="paragraph" w:customStyle="1" w:styleId="276">
    <w:name w:val="注：（正文）"/>
    <w:basedOn w:val="277"/>
    <w:next w:val="144"/>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78">
    <w:name w:val="术语定义二级条标题"/>
    <w:basedOn w:val="279"/>
    <w:next w:val="144"/>
    <w:uiPriority w:val="0"/>
    <w:pPr>
      <w:tabs>
        <w:tab w:val="left" w:pos="420"/>
        <w:tab w:val="left" w:pos="1155"/>
      </w:tabs>
      <w:ind w:left="1155"/>
    </w:pPr>
  </w:style>
  <w:style w:type="paragraph" w:customStyle="1" w:styleId="279">
    <w:name w:val="术语定义条标题"/>
    <w:basedOn w:val="258"/>
    <w:next w:val="14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2"/>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4"/>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08">
    <w:name w:val="样式 样式 正文缩进正文缩进 Char正文（首行缩进两字） Char Char正文（首行缩进两字） Char1正文（首行缩进两....1"/>
    <w:basedOn w:val="124"/>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2"/>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2"/>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323">
    <w:name w:val="式中"/>
    <w:next w:val="144"/>
    <w:uiPriority w:val="0"/>
    <w:pPr>
      <w:numPr>
        <w:ilvl w:val="0"/>
        <w:numId w:val="8"/>
      </w:numPr>
      <w:tabs>
        <w:tab w:val="left" w:pos="210"/>
      </w:tabs>
    </w:pPr>
    <w:rPr>
      <w:rFonts w:ascii="宋体"/>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4"/>
    <w:uiPriority w:val="0"/>
    <w:pPr>
      <w:outlineLvl w:val="6"/>
    </w:pPr>
  </w:style>
  <w:style w:type="paragraph" w:customStyle="1" w:styleId="335">
    <w:name w:val="附录四级条标题"/>
    <w:basedOn w:val="211"/>
    <w:next w:val="144"/>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37">
    <w:name w:val="引言二级条标题"/>
    <w:basedOn w:val="273"/>
    <w:next w:val="144"/>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2"/>
    <w:uiPriority w:val="0"/>
    <w:pPr>
      <w:spacing w:afterLines="10" w:line="300" w:lineRule="auto"/>
      <w:ind w:firstLine="200"/>
    </w:pPr>
  </w:style>
  <w:style w:type="paragraph" w:customStyle="1" w:styleId="344">
    <w:name w:val="正文表标题"/>
    <w:next w:val="1"/>
    <w:uiPriority w:val="0"/>
    <w:pPr>
      <w:jc w:val="center"/>
    </w:pPr>
    <w:rPr>
      <w:rFonts w:ascii="黑体" w:eastAsia="黑体"/>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53">
    <w:name w:val="朱公式"/>
    <w:basedOn w:val="152"/>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2"/>
    <w:uiPriority w:val="0"/>
    <w:pPr>
      <w:spacing w:afterLines="10"/>
      <w:ind w:firstLine="200"/>
    </w:pPr>
  </w:style>
  <w:style w:type="paragraph" w:customStyle="1" w:styleId="377">
    <w:name w:val="_图表编号"/>
    <w:basedOn w:val="23"/>
    <w:next w:val="167"/>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4"/>
    <w:uiPriority w:val="0"/>
    <w:pPr>
      <w:tabs>
        <w:tab w:val="left" w:pos="1575"/>
        <w:tab w:val="clear" w:pos="735"/>
      </w:tabs>
      <w:ind w:left="1575"/>
    </w:pPr>
  </w:style>
  <w:style w:type="paragraph" w:customStyle="1" w:styleId="384">
    <w:name w:val="朱表头"/>
    <w:basedOn w:val="162"/>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4"/>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7">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4"/>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4"/>
    <w:uiPriority w:val="0"/>
    <w:pPr>
      <w:tabs>
        <w:tab w:val="left" w:pos="420"/>
        <w:tab w:val="left" w:pos="1620"/>
      </w:tabs>
      <w:spacing w:line="360" w:lineRule="auto"/>
      <w:ind w:left="1620" w:leftChars="600" w:hanging="360" w:hangingChars="200"/>
    </w:pPr>
    <w:rPr>
      <w:rFonts w:ascii="宋体" w:hAnsi="宋体" w:eastAsia="宋体"/>
    </w:rPr>
  </w:style>
  <w:style w:type="paragraph" w:styleId="441">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5"/>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4"/>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4"/>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4"/>
    <w:uiPriority w:val="0"/>
    <w:pPr>
      <w:jc w:val="both"/>
    </w:pPr>
    <w:rPr>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 w:type="paragraph" w:customStyle="1" w:styleId="518">
    <w:name w:val="正文_1_0_1"/>
    <w:basedOn w:val="332"/>
    <w:qFormat/>
    <w:uiPriority w:val="0"/>
    <w:rPr>
      <w:szCs w:val="21"/>
    </w:rPr>
  </w:style>
  <w:style w:type="paragraph" w:customStyle="1" w:styleId="519">
    <w:name w:val="正文_1_0_0_0"/>
    <w:qFormat/>
    <w:uiPriority w:val="0"/>
    <w:pPr>
      <w:widowControl w:val="0"/>
      <w:jc w:val="both"/>
    </w:pPr>
    <w:rPr>
      <w:rFonts w:ascii="Calibri" w:hAnsi="Calibri"/>
      <w:kern w:val="2"/>
      <w:sz w:val="21"/>
      <w:szCs w:val="22"/>
      <w:lang w:val="en-US" w:eastAsia="zh-CN" w:bidi="ar-SA"/>
    </w:rPr>
  </w:style>
  <w:style w:type="paragraph" w:customStyle="1" w:styleId="520">
    <w:name w:val="正文_12"/>
    <w:qFormat/>
    <w:uiPriority w:val="0"/>
    <w:pPr>
      <w:widowControl w:val="0"/>
      <w:jc w:val="both"/>
    </w:pPr>
    <w:rPr>
      <w:rFonts w:ascii="Calibri" w:hAnsi="Calibri"/>
      <w:kern w:val="2"/>
      <w:sz w:val="21"/>
      <w:szCs w:val="24"/>
      <w:lang w:val="en-US" w:eastAsia="zh-CN" w:bidi="ar-SA"/>
    </w:rPr>
  </w:style>
  <w:style w:type="paragraph" w:customStyle="1" w:styleId="521">
    <w:name w:val="Normal_0"/>
    <w:qFormat/>
    <w:uiPriority w:val="0"/>
    <w:rPr>
      <w:rFonts w:ascii="黑体" w:hAnsi="黑体" w:eastAsia="黑体"/>
      <w:b/>
      <w:sz w:val="32"/>
      <w:szCs w:val="24"/>
      <w:lang w:val="en-US" w:eastAsia="zh-CN" w:bidi="ar-SA"/>
    </w:rPr>
  </w:style>
  <w:style w:type="paragraph" w:customStyle="1" w:styleId="522">
    <w:name w:val="正文_1_0_0"/>
    <w:qFormat/>
    <w:uiPriority w:val="0"/>
    <w:pPr>
      <w:widowControl w:val="0"/>
      <w:jc w:val="both"/>
    </w:pPr>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2905</Words>
  <Characters>16563</Characters>
  <Lines>138</Lines>
  <Paragraphs>38</Paragraphs>
  <TotalTime>0</TotalTime>
  <ScaleCrop>false</ScaleCrop>
  <LinksUpToDate>false</LinksUpToDate>
  <CharactersWithSpaces>19430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2022-01-13T01:25:00Z</dcterms:created>
  <dc:creator>朱顺平</dc:creator>
  <cp:lastModifiedBy>何以为之而后快</cp:lastModifiedBy>
  <cp:lastPrinted>2022-01-13T02:12:00Z</cp:lastPrinted>
  <dcterms:modified xsi:type="dcterms:W3CDTF">2022-01-13T09:09:41Z</dcterms:modified>
  <dc:title>宜兴水务集团有限公司</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8A6C293C75714662B1640EA762392B93</vt:lpwstr>
  </property>
</Properties>
</file>