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16" w:name="_GoBack"/>
      <w:bookmarkEnd w:id="116"/>
    </w:p>
    <w:p>
      <w:pPr>
        <w:jc w:val="center"/>
        <w:rPr>
          <w:rFonts w:hint="eastAsia" w:ascii="宋体" w:hAnsi="宋体" w:cs="宋体"/>
          <w:b/>
          <w:bCs/>
          <w:sz w:val="36"/>
          <w:szCs w:val="36"/>
        </w:rPr>
      </w:pPr>
      <w:r>
        <w:rPr>
          <w:rFonts w:hint="eastAsia" w:ascii="宋体" w:hAnsi="宋体" w:cs="宋体"/>
          <w:b/>
          <w:bCs/>
          <w:sz w:val="36"/>
          <w:szCs w:val="36"/>
        </w:rPr>
        <w:t>宜兴水务集团有限公司移动式静音型发电机组采购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ind w:left="840" w:hanging="840"/>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YXGYJT202110011</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二一年九月二十八日</w:t>
      </w:r>
    </w:p>
    <w:p>
      <w:pPr>
        <w:jc w:val="center"/>
        <w:outlineLvl w:val="0"/>
        <w:rPr>
          <w:rFonts w:hint="eastAsia" w:ascii="黑体" w:hAnsi="黑体" w:eastAsia="黑体"/>
          <w:sz w:val="32"/>
          <w:szCs w:val="32"/>
        </w:rPr>
      </w:pPr>
      <w:bookmarkStart w:id="0" w:name="OLE_LINK7"/>
    </w:p>
    <w:p>
      <w:pPr>
        <w:pStyle w:val="2"/>
        <w:ind w:firstLine="210"/>
        <w:rPr>
          <w:rFonts w:hint="eastAsia"/>
        </w:rPr>
      </w:pPr>
    </w:p>
    <w:p>
      <w:pPr>
        <w:pStyle w:val="2"/>
        <w:ind w:firstLine="210"/>
        <w:rPr>
          <w:rFonts w:hint="eastAsia"/>
        </w:rPr>
      </w:pPr>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宜兴水务集团有限公司对</w:t>
      </w:r>
      <w:r>
        <w:rPr>
          <w:rFonts w:hint="eastAsia"/>
          <w:sz w:val="24"/>
        </w:rPr>
        <w:t>移动式静音型发电机组</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290"/>
            </w:pPr>
            <w:bookmarkStart w:id="2" w:name="OLE_LINK192"/>
            <w:r>
              <w:rPr>
                <w:rFonts w:hint="eastAsia"/>
              </w:rPr>
              <w:t>采购人：宜兴水务集团有限公司</w:t>
            </w:r>
          </w:p>
          <w:p>
            <w:pPr>
              <w:spacing w:line="400" w:lineRule="exact"/>
              <w:jc w:val="left"/>
              <w:rPr>
                <w:rFonts w:hint="eastAsia" w:ascii="宋体" w:hAnsi="宋体"/>
                <w:bCs/>
                <w:sz w:val="24"/>
                <w:szCs w:val="24"/>
              </w:rPr>
            </w:pPr>
            <w:r>
              <w:rPr>
                <w:rFonts w:hint="eastAsia"/>
              </w:rPr>
              <w:t>项目名称：</w:t>
            </w:r>
            <w:r>
              <w:rPr>
                <w:rFonts w:hint="eastAsia"/>
                <w:sz w:val="24"/>
              </w:rPr>
              <w:t>移动式静音型发电机组</w:t>
            </w:r>
            <w:r>
              <w:rPr>
                <w:rFonts w:hint="eastAsia" w:ascii="宋体" w:hAnsi="宋体"/>
                <w:bCs/>
                <w:sz w:val="24"/>
                <w:szCs w:val="24"/>
              </w:rPr>
              <w:t>采购</w:t>
            </w:r>
          </w:p>
          <w:p>
            <w:pPr>
              <w:pStyle w:val="290"/>
              <w:rPr>
                <w:rFonts w:hint="eastAsia"/>
              </w:rPr>
            </w:pPr>
            <w:r>
              <w:rPr>
                <w:rFonts w:hint="eastAsia"/>
              </w:rPr>
              <w:t>项目编号</w:t>
            </w:r>
            <w:r>
              <w:t>: YXGYJT202110011</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45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290"/>
            </w:pPr>
            <w:r>
              <w:rPr>
                <w:rFonts w:hint="eastAsia"/>
              </w:rPr>
              <w:t>2.1投标人参加本次投标活动应具备下列资格条件：</w:t>
            </w:r>
          </w:p>
          <w:p>
            <w:pPr>
              <w:pStyle w:val="290"/>
              <w:rPr>
                <w:szCs w:val="24"/>
              </w:rPr>
            </w:pPr>
            <w:r>
              <w:rPr>
                <w:rFonts w:hint="eastAsia"/>
                <w:szCs w:val="24"/>
              </w:rPr>
              <w:t>①具有独立承担民事责任的能力，是柴油发电机组设备制造商或制造商 的授权代理商。投标人如为代理商需提供制造商针对本项目的专项授权书原件。制造商与其授权代理商不能同时参与投标，如同时参加只接受制造商投标。；</w:t>
            </w:r>
          </w:p>
          <w:p>
            <w:pPr>
              <w:pStyle w:val="290"/>
              <w:rPr>
                <w:szCs w:val="24"/>
              </w:rPr>
            </w:pPr>
            <w:r>
              <w:rPr>
                <w:rFonts w:hint="eastAsia"/>
                <w:szCs w:val="24"/>
              </w:rPr>
              <w:t>②有依法缴纳税收和社会保障资金的良好记录；</w:t>
            </w:r>
          </w:p>
          <w:p>
            <w:pPr>
              <w:pStyle w:val="290"/>
              <w:rPr>
                <w:rFonts w:hint="eastAsia"/>
                <w:szCs w:val="24"/>
              </w:rPr>
            </w:pPr>
            <w:r>
              <w:rPr>
                <w:rFonts w:hint="eastAsia"/>
                <w:szCs w:val="24"/>
              </w:rPr>
              <w:t>③具有履行合同所必需的设备和专业技术能力；</w:t>
            </w:r>
          </w:p>
          <w:p>
            <w:pPr>
              <w:rPr>
                <w:sz w:val="24"/>
                <w:szCs w:val="24"/>
              </w:rPr>
            </w:pPr>
            <w:r>
              <w:rPr>
                <w:rFonts w:hint="eastAsia"/>
                <w:sz w:val="24"/>
                <w:szCs w:val="24"/>
              </w:rPr>
              <w:t>④投标人需</w:t>
            </w:r>
            <w:r>
              <w:rPr>
                <w:rFonts w:hint="eastAsia" w:ascii="宋体" w:hAnsi="宋体"/>
                <w:color w:val="000000"/>
                <w:sz w:val="24"/>
                <w:szCs w:val="24"/>
              </w:rPr>
              <w:t>通过 ISO9001 质量管理体系认证、ISO14001 环境管理体系认证、</w:t>
            </w:r>
            <w:r>
              <w:rPr>
                <w:rFonts w:ascii="宋体" w:hAnsi="宋体"/>
                <w:color w:val="000000"/>
                <w:sz w:val="24"/>
                <w:szCs w:val="24"/>
              </w:rPr>
              <w:t>ISO45001</w:t>
            </w:r>
            <w:r>
              <w:rPr>
                <w:rFonts w:hint="eastAsia" w:ascii="宋体" w:hAnsi="宋体"/>
                <w:color w:val="000000"/>
                <w:sz w:val="24"/>
                <w:szCs w:val="24"/>
              </w:rPr>
              <w:t xml:space="preserve"> 职业健康安全管理体系认证（清晰扫描件）</w:t>
            </w:r>
          </w:p>
          <w:p>
            <w:pPr>
              <w:pStyle w:val="290"/>
              <w:rPr>
                <w:rFonts w:hint="eastAsia"/>
                <w:szCs w:val="24"/>
              </w:rPr>
            </w:pPr>
            <w:r>
              <w:rPr>
                <w:rFonts w:hint="eastAsia"/>
                <w:szCs w:val="24"/>
              </w:rPr>
              <w:t>④投标供应商在投标时须提供投标产品清晰彩照、产品参数说明书等相关资料；</w:t>
            </w:r>
          </w:p>
          <w:p>
            <w:r>
              <w:rPr>
                <w:rFonts w:hint="eastAsia"/>
                <w:sz w:val="24"/>
                <w:szCs w:val="24"/>
              </w:rPr>
              <w:t>⑤不接受联合体，不接受成交后分包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29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400" w:lineRule="exact"/>
              <w:rPr>
                <w:rFonts w:ascii="宋体" w:hAnsi="宋体"/>
                <w:bCs/>
                <w:sz w:val="24"/>
                <w:szCs w:val="24"/>
              </w:rPr>
            </w:pPr>
            <w:r>
              <w:rPr>
                <w:rFonts w:hint="eastAsia" w:ascii="宋体" w:hAnsi="宋体"/>
                <w:bCs/>
                <w:sz w:val="24"/>
                <w:szCs w:val="24"/>
              </w:rPr>
              <w:t>资格审查文件：</w:t>
            </w:r>
            <w:r>
              <w:rPr>
                <w:rFonts w:ascii="宋体" w:hAnsi="宋体"/>
                <w:bCs/>
                <w:sz w:val="24"/>
                <w:szCs w:val="24"/>
              </w:rPr>
              <w:t>1</w:t>
            </w:r>
            <w:r>
              <w:rPr>
                <w:rFonts w:hint="eastAsia" w:ascii="宋体" w:hAnsi="宋体"/>
                <w:bCs/>
                <w:sz w:val="24"/>
                <w:szCs w:val="24"/>
              </w:rPr>
              <w:t>份（不需密封）</w:t>
            </w:r>
          </w:p>
          <w:p>
            <w:pPr>
              <w:pStyle w:val="2"/>
              <w:ind w:firstLine="0" w:firstLineChars="0"/>
              <w:rPr>
                <w:lang w:val="en-US" w:eastAsia="zh-CN"/>
              </w:rPr>
            </w:pPr>
            <w:r>
              <w:rPr>
                <w:rFonts w:hint="eastAsia" w:ascii="宋体" w:hAnsi="宋体"/>
                <w:bCs/>
                <w:sz w:val="24"/>
                <w:szCs w:val="24"/>
                <w:lang w:val="en-US" w:eastAsia="zh-CN"/>
              </w:rPr>
              <w:t>投标文件份数：2份（需装订后密封）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2022年1月5日14：</w:t>
            </w:r>
            <w:r>
              <w:rPr>
                <w:rFonts w:hint="eastAsia" w:ascii="宋体" w:hAnsi="宋体"/>
                <w:bCs/>
                <w:sz w:val="24"/>
                <w:szCs w:val="21"/>
              </w:rPr>
              <w:t>00</w:t>
            </w:r>
          </w:p>
          <w:p>
            <w:pPr>
              <w:spacing w:line="276" w:lineRule="auto"/>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评标地点：宜兴市环科园绿园路528号孵化园二楼开标室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rPr>
                <w:rFonts w:ascii="宋体" w:hAnsi="宋体"/>
                <w:bCs/>
                <w:sz w:val="24"/>
                <w:szCs w:val="21"/>
              </w:rPr>
            </w:pPr>
            <w:r>
              <w:rPr>
                <w:rFonts w:hint="eastAsia" w:ascii="宋体" w:hAnsi="宋体"/>
                <w:bCs/>
                <w:sz w:val="24"/>
                <w:szCs w:val="21"/>
              </w:rPr>
              <w:t>联系人：赵女士、刘先生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pStyle w:val="290"/>
            </w:pPr>
            <w:bookmarkStart w:id="5" w:name="OLE_LINK49"/>
            <w:bookmarkStart w:id="6" w:name="OLE_LINK138"/>
            <w:r>
              <w:rPr>
                <w:rFonts w:hint="eastAsia"/>
              </w:rPr>
              <w:t>采购人根据项目的实际情况，要求投标人在投标前须交纳投标保证金</w:t>
            </w:r>
            <w:r>
              <w:rPr>
                <w:rFonts w:hint="eastAsia"/>
                <w:u w:val="single"/>
              </w:rPr>
              <w:t>贰仟元</w:t>
            </w:r>
            <w:r>
              <w:rPr>
                <w:rFonts w:hint="eastAsia"/>
              </w:rPr>
              <w:t>人民币。</w:t>
            </w:r>
          </w:p>
          <w:bookmarkEnd w:id="5"/>
          <w:p>
            <w:pPr>
              <w:pStyle w:val="290"/>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6"/>
            <w:r>
              <w:rPr>
                <w:rFonts w:hint="eastAsia" w:hAnsi="宋体"/>
                <w:bCs/>
                <w:kern w:val="2"/>
                <w:szCs w:val="24"/>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现金转账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10010188000017548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jc w:val="left"/>
              <w:rPr>
                <w:rFonts w:ascii="仿宋" w:hAnsi="仿宋" w:eastAsia="仿宋"/>
                <w:b/>
                <w:bCs/>
                <w:color w:val="FF0000"/>
                <w:sz w:val="32"/>
                <w:szCs w:val="32"/>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w:t>
      </w:r>
    </w:p>
    <w:p>
      <w:pPr>
        <w:pStyle w:val="2"/>
        <w:ind w:firstLine="600" w:firstLineChars="250"/>
        <w:rPr>
          <w:rFonts w:hint="eastAsia" w:ascii="宋体" w:hAnsi="宋体"/>
          <w:color w:val="000000"/>
          <w:lang w:eastAsia="zh-CN"/>
        </w:rPr>
      </w:pPr>
      <w:r>
        <w:rPr>
          <w:rFonts w:hint="eastAsia"/>
          <w:sz w:val="24"/>
          <w:szCs w:val="24"/>
          <w:lang w:val="en-US" w:eastAsia="zh-CN"/>
        </w:rPr>
        <w:t>⑥投标人</w:t>
      </w:r>
      <w:r>
        <w:rPr>
          <w:rFonts w:hint="eastAsia" w:ascii="宋体" w:hAnsi="宋体"/>
          <w:color w:val="000000"/>
          <w:sz w:val="24"/>
          <w:szCs w:val="24"/>
        </w:rPr>
        <w:t>ISO9001 质量管理体系认证、ISO14001 环境管理体系认证、</w:t>
      </w:r>
      <w:r>
        <w:rPr>
          <w:rFonts w:ascii="宋体" w:hAnsi="宋体"/>
          <w:color w:val="000000"/>
          <w:sz w:val="24"/>
          <w:szCs w:val="24"/>
        </w:rPr>
        <w:t>ISO45001</w:t>
      </w:r>
      <w:r>
        <w:rPr>
          <w:rFonts w:hint="eastAsia" w:ascii="宋体" w:hAnsi="宋体"/>
          <w:color w:val="000000"/>
          <w:sz w:val="24"/>
          <w:szCs w:val="24"/>
        </w:rPr>
        <w:t>职业健康安全管理体系认证证书</w:t>
      </w:r>
      <w:r>
        <w:rPr>
          <w:rFonts w:hint="eastAsia" w:ascii="宋体" w:hAnsi="宋体"/>
          <w:color w:val="000000"/>
        </w:rPr>
        <w:t>（清晰扫描件）</w:t>
      </w:r>
    </w:p>
    <w:p>
      <w:pPr>
        <w:pStyle w:val="2"/>
        <w:ind w:firstLine="525" w:firstLineChars="250"/>
        <w:rPr>
          <w:rFonts w:hint="eastAsia"/>
          <w:sz w:val="24"/>
          <w:szCs w:val="24"/>
          <w:lang w:val="en-US" w:eastAsia="zh-CN"/>
        </w:rPr>
      </w:pPr>
      <w:r>
        <w:rPr>
          <w:rFonts w:hint="eastAsia" w:ascii="宋体" w:hAnsi="宋体"/>
          <w:color w:val="000000"/>
          <w:lang w:eastAsia="zh-CN"/>
        </w:rPr>
        <w:t>⑦</w:t>
      </w:r>
      <w:r>
        <w:rPr>
          <w:rFonts w:hint="eastAsia"/>
          <w:sz w:val="24"/>
          <w:szCs w:val="24"/>
        </w:rPr>
        <w:t>投标产品清晰彩照、产品参数说明书等相关资料</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szCs w:val="24"/>
        </w:rPr>
        <w:t>（4）招标文件 “项目技</w:t>
      </w:r>
      <w:r>
        <w:rPr>
          <w:rFonts w:hint="eastAsia" w:ascii="宋体" w:hAnsi="宋体"/>
          <w:sz w:val="24"/>
        </w:rPr>
        <w:t>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26921"/>
      <w:bookmarkStart w:id="70" w:name="_Toc15017"/>
      <w:bookmarkStart w:id="71" w:name="_Toc24341"/>
      <w:bookmarkStart w:id="72" w:name="_Toc372018970"/>
      <w:bookmarkStart w:id="73" w:name="_Toc374078452"/>
      <w:bookmarkStart w:id="74" w:name="_Toc376165139"/>
      <w:bookmarkStart w:id="75" w:name="_Toc372018550"/>
    </w:p>
    <w:p>
      <w:pPr>
        <w:spacing w:line="360" w:lineRule="auto"/>
        <w:ind w:firstLine="480" w:firstLineChars="200"/>
        <w:rPr>
          <w:rFonts w:ascii="宋体" w:hAnsi="宋体" w:cs="宋体"/>
          <w:sz w:val="24"/>
          <w:szCs w:val="24"/>
        </w:rPr>
      </w:pPr>
      <w:r>
        <w:rPr>
          <w:rFonts w:hint="eastAsia" w:ascii="宋体" w:hAnsi="宋体" w:cs="宋体"/>
          <w:sz w:val="24"/>
          <w:szCs w:val="24"/>
        </w:rPr>
        <w:t>一、项目概述：</w:t>
      </w:r>
    </w:p>
    <w:p>
      <w:pPr>
        <w:spacing w:line="400" w:lineRule="exact"/>
        <w:ind w:firstLine="480" w:firstLineChars="200"/>
        <w:jc w:val="left"/>
        <w:rPr>
          <w:rFonts w:ascii="宋体" w:hAnsi="宋体" w:cs="宋体"/>
          <w:sz w:val="24"/>
          <w:szCs w:val="24"/>
        </w:rPr>
      </w:pPr>
      <w:r>
        <w:rPr>
          <w:rFonts w:hint="eastAsia" w:ascii="宋体" w:hAnsi="宋体" w:cs="宋体"/>
          <w:sz w:val="24"/>
          <w:szCs w:val="24"/>
        </w:rPr>
        <w:t>本项目为宜兴水务集团有限公司</w:t>
      </w:r>
      <w:r>
        <w:rPr>
          <w:rFonts w:hint="eastAsia"/>
          <w:sz w:val="24"/>
        </w:rPr>
        <w:t>移动式静音型发电机组</w:t>
      </w:r>
      <w:r>
        <w:rPr>
          <w:rFonts w:hint="eastAsia" w:ascii="宋体" w:hAnsi="宋体"/>
          <w:bCs/>
          <w:sz w:val="24"/>
          <w:szCs w:val="24"/>
        </w:rPr>
        <w:t>采购</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二、技术要求：</w:t>
      </w:r>
    </w:p>
    <w:p>
      <w:pPr>
        <w:spacing w:line="360" w:lineRule="auto"/>
        <w:ind w:firstLine="480" w:firstLineChars="200"/>
        <w:rPr>
          <w:rFonts w:ascii="宋体" w:hAnsi="宋体" w:cs="宋体"/>
          <w:sz w:val="24"/>
          <w:szCs w:val="24"/>
        </w:rPr>
      </w:pPr>
      <w:r>
        <w:rPr>
          <w:rFonts w:hint="eastAsia" w:ascii="宋体" w:hAnsi="宋体" w:cs="宋体"/>
          <w:sz w:val="24"/>
          <w:szCs w:val="24"/>
        </w:rPr>
        <w:t>1、本次招标项目的要求及数量详见下表，最高限价45万元。</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设备名称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规格</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62"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vMerge w:val="restart"/>
            <w:tcBorders>
              <w:top w:val="single" w:color="auto" w:sz="4" w:space="0"/>
              <w:left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sz w:val="24"/>
              </w:rPr>
              <w:t>移动式静音型柴油发电机组</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50kw，4缸，排气量3.9L</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大贤岭水厂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4"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2</w:t>
            </w:r>
          </w:p>
        </w:tc>
        <w:tc>
          <w:tcPr>
            <w:tcW w:w="2531" w:type="dxa"/>
            <w:vMerge w:val="continue"/>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highlight w:val="yellow"/>
              </w:rPr>
            </w:pPr>
            <w:r>
              <w:rPr>
                <w:rFonts w:hint="eastAsia" w:ascii="宋体" w:hAnsi="宋体"/>
                <w:sz w:val="24"/>
                <w:szCs w:val="28"/>
                <w:highlight w:val="yellow"/>
              </w:rPr>
              <w:t>160kw，6缸，排气量8.3L</w:t>
            </w:r>
          </w:p>
        </w:tc>
        <w:tc>
          <w:tcPr>
            <w:tcW w:w="2838" w:type="dxa"/>
            <w:tcBorders>
              <w:top w:val="single" w:color="auto" w:sz="4" w:space="0"/>
              <w:left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氿滨水厂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3"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3</w:t>
            </w:r>
          </w:p>
        </w:tc>
        <w:tc>
          <w:tcPr>
            <w:tcW w:w="2531" w:type="dxa"/>
            <w:vMerge w:val="continue"/>
            <w:tcBorders>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highlight w:val="yellow"/>
              </w:rPr>
            </w:pPr>
            <w:r>
              <w:rPr>
                <w:rFonts w:hint="eastAsia" w:ascii="宋体" w:hAnsi="宋体"/>
                <w:sz w:val="24"/>
                <w:szCs w:val="28"/>
                <w:highlight w:val="yellow"/>
              </w:rPr>
              <w:t>250kw，6缸，排气量14L</w:t>
            </w:r>
          </w:p>
        </w:tc>
        <w:tc>
          <w:tcPr>
            <w:tcW w:w="2838" w:type="dxa"/>
            <w:tcBorders>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氿滨水厂,车载型</w:t>
            </w:r>
          </w:p>
        </w:tc>
      </w:tr>
    </w:tbl>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pStyle w:val="2"/>
        <w:ind w:firstLine="240"/>
        <w:rPr>
          <w:rFonts w:hint="eastAsia"/>
          <w:sz w:val="24"/>
          <w:szCs w:val="24"/>
        </w:rPr>
      </w:pPr>
      <w:r>
        <w:rPr>
          <w:rFonts w:hint="eastAsia"/>
          <w:sz w:val="24"/>
          <w:szCs w:val="24"/>
        </w:rPr>
        <w:t>3品牌要求：</w:t>
      </w:r>
    </w:p>
    <w:p>
      <w:pPr>
        <w:pStyle w:val="2"/>
        <w:ind w:firstLine="240"/>
        <w:rPr>
          <w:rFonts w:hint="eastAsia"/>
          <w:sz w:val="24"/>
          <w:szCs w:val="24"/>
        </w:rPr>
      </w:pPr>
      <w:r>
        <w:rPr>
          <w:rFonts w:hint="eastAsia"/>
          <w:sz w:val="24"/>
          <w:szCs w:val="24"/>
        </w:rPr>
        <w:t>柴油发动机品牌要求：</w:t>
      </w:r>
      <w:r>
        <w:rPr>
          <w:sz w:val="24"/>
          <w:szCs w:val="24"/>
        </w:rPr>
        <w:t>康明斯、玉柴、</w:t>
      </w:r>
      <w:r>
        <w:rPr>
          <w:rFonts w:hint="eastAsia"/>
          <w:sz w:val="24"/>
          <w:szCs w:val="24"/>
          <w:lang w:eastAsia="zh-CN"/>
        </w:rPr>
        <w:t>上</w:t>
      </w:r>
      <w:r>
        <w:rPr>
          <w:sz w:val="24"/>
          <w:szCs w:val="24"/>
        </w:rPr>
        <w:t>柴或同档次以上品牌</w:t>
      </w:r>
    </w:p>
    <w:p>
      <w:pPr>
        <w:pStyle w:val="2"/>
        <w:ind w:firstLine="240"/>
        <w:rPr>
          <w:rFonts w:hint="eastAsia"/>
          <w:sz w:val="24"/>
          <w:szCs w:val="24"/>
        </w:rPr>
      </w:pPr>
      <w:r>
        <w:rPr>
          <w:rFonts w:hint="eastAsia"/>
          <w:sz w:val="24"/>
          <w:szCs w:val="24"/>
        </w:rPr>
        <w:t>发电机品牌要求：</w:t>
      </w:r>
      <w:r>
        <w:rPr>
          <w:sz w:val="24"/>
          <w:szCs w:val="24"/>
        </w:rPr>
        <w:t>斯坦福、利莱森玛、马拉松或同档次以上品牌</w:t>
      </w:r>
    </w:p>
    <w:p>
      <w:pPr>
        <w:pStyle w:val="2"/>
        <w:ind w:firstLine="240"/>
        <w:rPr>
          <w:rFonts w:hint="eastAsia"/>
          <w:sz w:val="24"/>
          <w:szCs w:val="24"/>
        </w:rPr>
      </w:pPr>
      <w:r>
        <w:rPr>
          <w:sz w:val="24"/>
          <w:szCs w:val="24"/>
        </w:rPr>
        <w:t>控制器: 深海、科迈、伍德沃德 丹控或同档次以上品牌</w:t>
      </w:r>
    </w:p>
    <w:p>
      <w:pPr>
        <w:pStyle w:val="2"/>
        <w:ind w:firstLine="240"/>
        <w:rPr>
          <w:rFonts w:hint="eastAsia"/>
          <w:sz w:val="24"/>
          <w:szCs w:val="24"/>
          <w:lang w:eastAsia="zh-CN"/>
        </w:rPr>
      </w:pPr>
      <w:r>
        <w:rPr>
          <w:sz w:val="24"/>
          <w:szCs w:val="24"/>
        </w:rPr>
        <w:t>断路器: ABB、西门子、施耐德或同档次以上品牌</w:t>
      </w:r>
    </w:p>
    <w:p>
      <w:pPr>
        <w:pStyle w:val="2"/>
        <w:ind w:firstLine="240"/>
        <w:rPr>
          <w:rFonts w:hint="eastAsia"/>
          <w:sz w:val="24"/>
          <w:szCs w:val="24"/>
          <w:lang w:eastAsia="zh-CN"/>
        </w:rPr>
      </w:pPr>
      <w:r>
        <w:rPr>
          <w:rFonts w:hint="eastAsia"/>
          <w:sz w:val="24"/>
          <w:szCs w:val="24"/>
          <w:highlight w:val="yellow"/>
          <w:lang w:eastAsia="zh-CN"/>
        </w:rPr>
        <w:t>4、本次招标内容为移动式静音型柴油发电机组，静音箱体由不小于3mm的钢板制作而成，内含静音棉，7米内噪音需小于75DB</w:t>
      </w:r>
    </w:p>
    <w:p>
      <w:pPr>
        <w:pStyle w:val="2"/>
        <w:ind w:firstLine="240"/>
        <w:rPr>
          <w:rFonts w:hint="eastAsia"/>
          <w:sz w:val="24"/>
          <w:szCs w:val="24"/>
          <w:lang w:eastAsia="zh-CN"/>
        </w:rPr>
      </w:pPr>
      <w:r>
        <w:rPr>
          <w:rFonts w:hint="eastAsia"/>
          <w:sz w:val="24"/>
          <w:szCs w:val="24"/>
          <w:lang w:eastAsia="zh-CN"/>
        </w:rPr>
        <w:t>5</w:t>
      </w:r>
      <w:r>
        <w:rPr>
          <w:rFonts w:hint="eastAsia"/>
          <w:sz w:val="24"/>
          <w:szCs w:val="24"/>
          <w:highlight w:val="yellow"/>
          <w:lang w:eastAsia="zh-CN"/>
        </w:rPr>
        <w:t>、投标供应商在投标时须提供投标产品清晰彩照、产品参数说明书等相关资料</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三、质量标准：</w:t>
      </w:r>
    </w:p>
    <w:p>
      <w:pPr>
        <w:autoSpaceDE w:val="0"/>
        <w:autoSpaceDN w:val="0"/>
        <w:adjustRightInd w:val="0"/>
        <w:spacing w:line="276" w:lineRule="auto"/>
        <w:ind w:firstLine="640" w:firstLineChars="200"/>
        <w:jc w:val="left"/>
        <w:rPr>
          <w:rFonts w:hint="eastAsia" w:ascii="仿宋" w:hAnsi="仿宋" w:eastAsia="仿宋"/>
          <w:sz w:val="32"/>
          <w:szCs w:val="32"/>
        </w:rPr>
      </w:pPr>
      <w:r>
        <w:rPr>
          <w:rFonts w:hint="eastAsia" w:ascii="仿宋" w:hAnsi="仿宋" w:eastAsia="仿宋"/>
          <w:sz w:val="32"/>
          <w:szCs w:val="32"/>
        </w:rPr>
        <w:t>1、</w:t>
      </w:r>
      <w:r>
        <w:rPr>
          <w:rFonts w:ascii="仿宋" w:hAnsi="仿宋" w:eastAsia="仿宋"/>
          <w:sz w:val="32"/>
          <w:szCs w:val="32"/>
        </w:rPr>
        <w:t>柴油发电机组设计、加工制造、材料、探伤、电气装置、检验、试 验等应参照适合于该项目的相关标准、试验规范，以及技术规格书规定的有 关要求。所有计量仪器必须符合国家法定计量标准。这些标准应包括：中国 国家标准及其它被普遍认可的中国和国际标准；</w:t>
      </w:r>
    </w:p>
    <w:p>
      <w:pPr>
        <w:pStyle w:val="2"/>
        <w:spacing w:line="276" w:lineRule="auto"/>
        <w:ind w:firstLine="640" w:firstLineChars="200"/>
        <w:rPr>
          <w:rFonts w:hint="eastAsia" w:ascii="仿宋" w:hAnsi="仿宋" w:eastAsia="仿宋"/>
          <w:sz w:val="32"/>
          <w:szCs w:val="32"/>
        </w:rPr>
      </w:pPr>
      <w:r>
        <w:rPr>
          <w:rFonts w:ascii="仿宋" w:hAnsi="仿宋" w:eastAsia="仿宋"/>
          <w:sz w:val="32"/>
          <w:szCs w:val="32"/>
        </w:rPr>
        <w:t>GB2820-97,GB12786-91,GB1105,GB766,ISO8528,VDE0875-N,VDE0530,IE C34-1 ，BS4999 ，BS5000pt99 ，BS4999 ，BS5000pt99， BS5514，AS1359， UTE5100，CSA A22.2， CEMA，NEMA MGI—22；及由招标方认可的其它国 家的其它权威标准。</w:t>
      </w:r>
    </w:p>
    <w:p>
      <w:pPr>
        <w:pStyle w:val="2"/>
        <w:spacing w:line="276" w:lineRule="auto"/>
        <w:ind w:firstLine="0" w:firstLineChars="0"/>
        <w:rPr>
          <w:rFonts w:hint="eastAsia" w:ascii="仿宋" w:hAnsi="仿宋" w:eastAsia="仿宋"/>
          <w:sz w:val="32"/>
          <w:szCs w:val="32"/>
        </w:rPr>
      </w:pPr>
      <w:r>
        <w:rPr>
          <w:rFonts w:hint="eastAsia" w:ascii="仿宋" w:hAnsi="仿宋" w:eastAsia="仿宋"/>
          <w:sz w:val="32"/>
          <w:szCs w:val="32"/>
        </w:rPr>
        <w:t>2、</w:t>
      </w:r>
      <w:r>
        <w:rPr>
          <w:rFonts w:ascii="仿宋" w:hAnsi="仿宋" w:eastAsia="仿宋"/>
          <w:sz w:val="32"/>
          <w:szCs w:val="32"/>
        </w:rPr>
        <w:t>机组需满足的技术指标：遵守最新的国家标准（ＧＢ）和国际电工 委员会(IEC)标准以及国际单位制(SI)标准，还应遵守制造商所在国家标准， 当上述标准不一致时按高标准执行。设备和配套件要符合以下标准但不局限 于以下标准：</w:t>
      </w:r>
    </w:p>
    <w:p>
      <w:pPr>
        <w:pStyle w:val="2"/>
        <w:spacing w:line="276" w:lineRule="auto"/>
        <w:ind w:firstLine="0" w:firstLineChars="0"/>
        <w:rPr>
          <w:rFonts w:hint="eastAsia" w:ascii="仿宋" w:hAnsi="仿宋" w:eastAsia="仿宋"/>
          <w:sz w:val="32"/>
          <w:szCs w:val="32"/>
        </w:rPr>
      </w:pPr>
      <w:r>
        <w:rPr>
          <w:rFonts w:ascii="仿宋" w:hAnsi="仿宋" w:eastAsia="仿宋"/>
          <w:sz w:val="32"/>
          <w:szCs w:val="32"/>
        </w:rPr>
        <w:t>GB2819－97《交流工频移动电站通用技术条件》 GB2820－97《250 至 3200 千瓦柴油发电机组通用技术条件》 GB/T 4712-2008《自动化柴油发电机组分级要求》 GB12786-91《自动化柴油发电机组通用技术标准》 ISO8528-1《往复式内燃机驱动交流发电机组》</w:t>
      </w:r>
    </w:p>
    <w:p>
      <w:pPr>
        <w:pStyle w:val="2"/>
        <w:spacing w:line="276" w:lineRule="auto"/>
        <w:ind w:firstLine="0" w:firstLineChars="0"/>
        <w:rPr>
          <w:rFonts w:hint="eastAsia" w:ascii="仿宋" w:hAnsi="仿宋" w:eastAsia="仿宋"/>
          <w:sz w:val="32"/>
          <w:szCs w:val="32"/>
        </w:rPr>
      </w:pPr>
      <w:r>
        <w:rPr>
          <w:rFonts w:ascii="仿宋" w:hAnsi="仿宋" w:eastAsia="仿宋"/>
          <w:sz w:val="32"/>
          <w:szCs w:val="32"/>
        </w:rPr>
        <w:t>卖方所提供的柴油发动机组，必须符合但不限于下列全部法规和标准：</w:t>
      </w:r>
    </w:p>
    <w:p>
      <w:pPr>
        <w:pStyle w:val="2"/>
        <w:spacing w:line="276" w:lineRule="auto"/>
        <w:ind w:firstLine="0" w:firstLineChars="0"/>
        <w:rPr>
          <w:rFonts w:hint="eastAsia" w:ascii="仿宋" w:hAnsi="仿宋" w:eastAsia="仿宋"/>
          <w:sz w:val="32"/>
          <w:szCs w:val="32"/>
        </w:rPr>
      </w:pPr>
      <w:r>
        <w:rPr>
          <w:rFonts w:ascii="仿宋" w:hAnsi="仿宋" w:eastAsia="仿宋"/>
          <w:sz w:val="32"/>
          <w:szCs w:val="32"/>
        </w:rPr>
        <w:t>GB/T2820《往复式内燃机驱动的发电机组》 DL/T6027.1《往复式内燃机性能 标准基准状况，功率、燃油消耗和机 油消耗的标定及试验方法》 GB755《旋转电机 定额及性能》 GB4712《自动化柴油发动机组分级要求》 GB12786《自动化柴油发动机组通用技术规格》 JB/T7606《内燃机电站总装技术要求》 GB/T6072《往复式内燃机组性能》 GB/T1859《往复式内燃机复设的空气噪声测量》 GB/T4759《内燃机排气消声器测量方法》 GB/T14048《低压开关设备和控制设备》 GB/T14824《发电机断路器通用技术条件》 GB/T15548《往复式内燃机驱动的三相同步发电机通用技术条件》 GBJ32《电气装置安装工程施工及验收规范》</w:t>
      </w:r>
    </w:p>
    <w:p>
      <w:pPr>
        <w:pStyle w:val="2"/>
        <w:spacing w:line="276" w:lineRule="auto"/>
        <w:ind w:firstLine="0" w:firstLineChars="0"/>
        <w:rPr>
          <w:rFonts w:hint="eastAsia" w:ascii="仿宋" w:hAnsi="仿宋" w:eastAsia="仿宋"/>
          <w:sz w:val="32"/>
          <w:szCs w:val="32"/>
        </w:rPr>
      </w:pPr>
      <w:r>
        <w:rPr>
          <w:rFonts w:ascii="仿宋" w:hAnsi="仿宋" w:eastAsia="仿宋"/>
          <w:sz w:val="32"/>
          <w:szCs w:val="32"/>
        </w:rPr>
        <w:t>满足 ISO3046、BS4999、BS5000、BS5514、BS7689、IEC34-1、VDE0530 等标准。满足国内环保标准，满足《民用建筑电气设计规范》（JGJ/T16-2008） 对柴油发电机组主要配置的相关要求。 满足宜兴市供电管理部门的入网要求及相关规定。</w:t>
      </w:r>
    </w:p>
    <w:p>
      <w:pPr>
        <w:pStyle w:val="2"/>
        <w:ind w:firstLine="0" w:firstLineChars="0"/>
      </w:pPr>
      <w:r>
        <w:rPr>
          <w:rFonts w:hint="eastAsia"/>
          <w:lang w:val="en-US" w:eastAsia="zh-CN"/>
        </w:rPr>
        <w:t>250KW发电机组 技术参数要求</w:t>
      </w:r>
    </w:p>
    <w:tbl>
      <w:tblPr>
        <w:tblStyle w:val="75"/>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5"/>
        <w:gridCol w:w="11"/>
        <w:gridCol w:w="2234"/>
        <w:gridCol w:w="53"/>
        <w:gridCol w:w="2714"/>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19" w:type="dxa"/>
            <w:gridSpan w:val="6"/>
            <w:noWrap/>
            <w:vAlign w:val="top"/>
          </w:tcPr>
          <w:p>
            <w:r>
              <w:rPr>
                <w:rFonts w:hint="eastAsia" w:ascii="宋体" w:hAnsi="宋体"/>
                <w:b/>
                <w:sz w:val="28"/>
                <w:szCs w:val="28"/>
              </w:rPr>
              <w:t>柴油发电机组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常用功率（kW）</w:t>
            </w:r>
          </w:p>
        </w:tc>
        <w:tc>
          <w:tcPr>
            <w:tcW w:w="3619" w:type="dxa"/>
            <w:gridSpan w:val="3"/>
            <w:noWrap/>
            <w:vAlign w:val="top"/>
          </w:tcPr>
          <w:p>
            <w:pPr>
              <w:rPr>
                <w:rFonts w:ascii="宋体" w:hAnsi="宋体"/>
              </w:rPr>
            </w:pPr>
            <w:r>
              <w:rPr>
                <w:rFonts w:hint="eastAsia" w:ascii="宋体" w:hAnsi="宋体"/>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输出容量（kVA）</w:t>
            </w:r>
          </w:p>
        </w:tc>
        <w:tc>
          <w:tcPr>
            <w:tcW w:w="3619" w:type="dxa"/>
            <w:gridSpan w:val="3"/>
            <w:noWrap/>
            <w:vAlign w:val="top"/>
          </w:tcPr>
          <w:p>
            <w:pPr>
              <w:rPr>
                <w:rFonts w:ascii="宋体" w:hAnsi="宋体"/>
              </w:rPr>
            </w:pPr>
            <w:r>
              <w:rPr>
                <w:rFonts w:hint="eastAsia" w:ascii="宋体" w:hAnsi="宋体"/>
              </w:rPr>
              <w:t>312.5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功率因数</w:t>
            </w:r>
          </w:p>
        </w:tc>
        <w:tc>
          <w:tcPr>
            <w:tcW w:w="3619" w:type="dxa"/>
            <w:gridSpan w:val="3"/>
            <w:noWrap/>
            <w:vAlign w:val="top"/>
          </w:tcPr>
          <w:p>
            <w:pPr>
              <w:rPr>
                <w:rFonts w:ascii="宋体" w:hAnsi="宋体"/>
              </w:rPr>
            </w:pPr>
            <w:r>
              <w:rPr>
                <w:rFonts w:ascii="宋体" w:hAnsi="宋体"/>
              </w:rPr>
              <w:t>0.8</w:t>
            </w:r>
            <w:r>
              <w:rPr>
                <w:rFonts w:hint="eastAsia" w:ascii="宋体" w:hAnsi="宋体"/>
              </w:rPr>
              <w:t>（滞后）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频率(Hz)</w:t>
            </w:r>
          </w:p>
        </w:tc>
        <w:tc>
          <w:tcPr>
            <w:tcW w:w="3619" w:type="dxa"/>
            <w:gridSpan w:val="3"/>
            <w:noWrap/>
            <w:vAlign w:val="top"/>
          </w:tcPr>
          <w:p>
            <w:pPr>
              <w:rPr>
                <w:rFonts w:ascii="宋体" w:hAnsi="宋体"/>
              </w:rPr>
            </w:pPr>
            <w:r>
              <w:rPr>
                <w:rFonts w:hint="eastAsia" w:ascii="宋体" w:hAnsi="宋体"/>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输出电压（V）</w:t>
            </w:r>
          </w:p>
        </w:tc>
        <w:tc>
          <w:tcPr>
            <w:tcW w:w="3619" w:type="dxa"/>
            <w:gridSpan w:val="3"/>
            <w:noWrap/>
            <w:vAlign w:val="top"/>
          </w:tcPr>
          <w:p>
            <w:pPr>
              <w:rPr>
                <w:rFonts w:ascii="宋体" w:hAnsi="宋体"/>
              </w:rPr>
            </w:pPr>
            <w:r>
              <w:rPr>
                <w:rFonts w:hint="eastAsia" w:ascii="宋体" w:hAnsi="宋体"/>
              </w:rPr>
              <w:t>400 / 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dxa"/>
            <w:gridSpan w:val="3"/>
            <w:noWrap/>
            <w:vAlign w:val="top"/>
          </w:tcPr>
          <w:p>
            <w:pPr>
              <w:rPr>
                <w:rFonts w:ascii="宋体" w:hAnsi="宋体"/>
              </w:rPr>
            </w:pPr>
            <w:r>
              <w:rPr>
                <w:rFonts w:hint="eastAsia" w:ascii="宋体" w:hAnsi="宋体"/>
              </w:rPr>
              <w:t>输出电流（A）</w:t>
            </w:r>
          </w:p>
        </w:tc>
        <w:tc>
          <w:tcPr>
            <w:tcW w:w="3619" w:type="dxa"/>
            <w:gridSpan w:val="3"/>
            <w:noWrap/>
            <w:vAlign w:val="top"/>
          </w:tcPr>
          <w:p>
            <w:pPr>
              <w:rPr>
                <w:rFonts w:ascii="宋体" w:hAnsi="宋体"/>
              </w:rPr>
            </w:pPr>
            <w:r>
              <w:rPr>
                <w:rFonts w:hint="eastAsia" w:ascii="宋体" w:hAnsi="宋体"/>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19" w:type="dxa"/>
            <w:gridSpan w:val="6"/>
            <w:noWrap/>
            <w:vAlign w:val="top"/>
          </w:tcPr>
          <w:p>
            <w:pPr>
              <w:rPr>
                <w:rFonts w:ascii="宋体" w:hAnsi="宋体"/>
                <w:b/>
                <w:u w:val="single"/>
              </w:rPr>
            </w:pPr>
            <w:r>
              <w:rPr>
                <w:rFonts w:hint="eastAsia" w:ascii="宋体" w:hAnsi="宋体"/>
                <w:b/>
                <w:sz w:val="30"/>
              </w:rPr>
              <w:t>柴油机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额定转速（RPM）</w:t>
            </w:r>
          </w:p>
        </w:tc>
        <w:tc>
          <w:tcPr>
            <w:tcW w:w="2287" w:type="dxa"/>
            <w:gridSpan w:val="2"/>
            <w:noWrap/>
            <w:vAlign w:val="top"/>
          </w:tcPr>
          <w:p>
            <w:pPr>
              <w:rPr>
                <w:rFonts w:ascii="宋体" w:hAnsi="宋体"/>
              </w:rPr>
            </w:pPr>
            <w:r>
              <w:rPr>
                <w:rFonts w:hint="eastAsia" w:ascii="宋体" w:hAnsi="宋体"/>
              </w:rPr>
              <w:t>1500</w:t>
            </w:r>
          </w:p>
        </w:tc>
        <w:tc>
          <w:tcPr>
            <w:tcW w:w="2714" w:type="dxa"/>
            <w:noWrap/>
            <w:vAlign w:val="top"/>
          </w:tcPr>
          <w:p>
            <w:pPr>
              <w:rPr>
                <w:rFonts w:ascii="宋体" w:hAnsi="宋体"/>
              </w:rPr>
            </w:pPr>
            <w:r>
              <w:rPr>
                <w:rFonts w:hint="eastAsia" w:ascii="宋体" w:hAnsi="宋体"/>
              </w:rPr>
              <w:t>进气压力(kPa)</w:t>
            </w:r>
          </w:p>
        </w:tc>
        <w:tc>
          <w:tcPr>
            <w:tcW w:w="852" w:type="dxa"/>
            <w:noWrap/>
            <w:vAlign w:val="top"/>
          </w:tcPr>
          <w:p>
            <w:pPr>
              <w:rPr>
                <w:rFonts w:ascii="宋体" w:hAnsi="宋体"/>
              </w:rPr>
            </w:pPr>
            <w:r>
              <w:rPr>
                <w:rFonts w:hint="eastAsia" w:ascii="宋体" w:hAnsi="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气缸数</w:t>
            </w:r>
          </w:p>
        </w:tc>
        <w:tc>
          <w:tcPr>
            <w:tcW w:w="2287" w:type="dxa"/>
            <w:gridSpan w:val="2"/>
            <w:noWrap/>
            <w:vAlign w:val="center"/>
          </w:tcPr>
          <w:p>
            <w:pPr>
              <w:rPr>
                <w:rFonts w:ascii="宋体" w:hAnsi="宋体"/>
              </w:rPr>
            </w:pPr>
            <w:r>
              <w:rPr>
                <w:rFonts w:hint="eastAsia" w:ascii="宋体" w:hAnsi="宋体"/>
              </w:rPr>
              <w:t>6</w:t>
            </w:r>
          </w:p>
        </w:tc>
        <w:tc>
          <w:tcPr>
            <w:tcW w:w="2714" w:type="dxa"/>
            <w:noWrap/>
            <w:vAlign w:val="top"/>
          </w:tcPr>
          <w:p>
            <w:pPr>
              <w:rPr>
                <w:rFonts w:ascii="宋体" w:hAnsi="宋体"/>
              </w:rPr>
            </w:pPr>
            <w:r>
              <w:rPr>
                <w:rFonts w:hint="eastAsia" w:ascii="宋体" w:hAnsi="宋体"/>
              </w:rPr>
              <w:t>输出功率（kW）</w:t>
            </w:r>
          </w:p>
        </w:tc>
        <w:tc>
          <w:tcPr>
            <w:tcW w:w="852" w:type="dxa"/>
            <w:noWrap/>
            <w:vAlign w:val="top"/>
          </w:tcPr>
          <w:p>
            <w:pPr>
              <w:rPr>
                <w:rFonts w:ascii="宋体" w:hAnsi="宋体"/>
              </w:rPr>
            </w:pPr>
            <w:r>
              <w:rPr>
                <w:rFonts w:hint="eastAsia" w:ascii="宋体" w:hAnsi="宋体"/>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气缸排列方式</w:t>
            </w:r>
          </w:p>
        </w:tc>
        <w:tc>
          <w:tcPr>
            <w:tcW w:w="2287" w:type="dxa"/>
            <w:gridSpan w:val="2"/>
            <w:noWrap/>
            <w:vAlign w:val="center"/>
          </w:tcPr>
          <w:p>
            <w:pPr>
              <w:rPr>
                <w:rFonts w:ascii="宋体" w:hAnsi="宋体"/>
              </w:rPr>
            </w:pPr>
            <w:r>
              <w:rPr>
                <w:rFonts w:hint="eastAsia" w:ascii="宋体" w:hAnsi="宋体"/>
              </w:rPr>
              <w:t>L</w:t>
            </w:r>
          </w:p>
        </w:tc>
        <w:tc>
          <w:tcPr>
            <w:tcW w:w="2714" w:type="dxa"/>
            <w:noWrap/>
            <w:vAlign w:val="top"/>
          </w:tcPr>
          <w:p>
            <w:pPr>
              <w:rPr>
                <w:rFonts w:ascii="宋体" w:hAnsi="宋体"/>
              </w:rPr>
            </w:pPr>
            <w:r>
              <w:rPr>
                <w:rFonts w:hint="eastAsia" w:ascii="宋体" w:hAnsi="宋体"/>
              </w:rPr>
              <w:t>燃油规格、等级</w:t>
            </w:r>
          </w:p>
        </w:tc>
        <w:tc>
          <w:tcPr>
            <w:tcW w:w="852" w:type="dxa"/>
            <w:noWrap/>
            <w:vAlign w:val="top"/>
          </w:tcPr>
          <w:p>
            <w:pPr>
              <w:rPr>
                <w:rFonts w:ascii="宋体" w:hAnsi="宋体"/>
              </w:rPr>
            </w:pPr>
            <w:r>
              <w:rPr>
                <w:rFonts w:hint="eastAsia" w:ascii="宋体" w:hAnsi="宋体"/>
              </w:rPr>
              <w:t>中国0#(轻柴油)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缸径/行程（mm）</w:t>
            </w:r>
          </w:p>
        </w:tc>
        <w:tc>
          <w:tcPr>
            <w:tcW w:w="2287" w:type="dxa"/>
            <w:gridSpan w:val="2"/>
            <w:noWrap/>
            <w:vAlign w:val="center"/>
          </w:tcPr>
          <w:tbl>
            <w:tblPr>
              <w:tblStyle w:val="75"/>
              <w:tblW w:w="14100" w:type="dxa"/>
              <w:tblInd w:w="0" w:type="dxa"/>
              <w:tblLayout w:type="fixed"/>
              <w:tblCellMar>
                <w:top w:w="0" w:type="dxa"/>
                <w:left w:w="0" w:type="dxa"/>
                <w:bottom w:w="0" w:type="dxa"/>
                <w:right w:w="0" w:type="dxa"/>
              </w:tblCellMar>
            </w:tblPr>
            <w:tblGrid>
              <w:gridCol w:w="14100"/>
            </w:tblGrid>
            <w:tr>
              <w:tblPrEx>
                <w:tblCellMar>
                  <w:top w:w="0" w:type="dxa"/>
                  <w:left w:w="0" w:type="dxa"/>
                  <w:bottom w:w="0" w:type="dxa"/>
                  <w:right w:w="0" w:type="dxa"/>
                </w:tblCellMar>
              </w:tblPrEx>
              <w:tc>
                <w:tcPr>
                  <w:tcW w:w="2595" w:type="dxa"/>
                  <w:shd w:val="clear" w:color="auto" w:fill="auto"/>
                  <w:noWrap w:val="0"/>
                  <w:tcMar>
                    <w:top w:w="75" w:type="dxa"/>
                    <w:left w:w="75" w:type="dxa"/>
                    <w:bottom w:w="75" w:type="dxa"/>
                    <w:right w:w="75" w:type="dxa"/>
                  </w:tcMar>
                  <w:vAlign w:val="top"/>
                </w:tcPr>
                <w:p>
                  <w:pPr>
                    <w:rPr>
                      <w:rFonts w:ascii="宋体" w:hAnsi="宋体"/>
                    </w:rPr>
                  </w:pPr>
                  <w:r>
                    <w:rPr>
                      <w:rFonts w:hint="eastAsia" w:ascii="宋体" w:hAnsi="宋体"/>
                    </w:rPr>
                    <w:t>140/</w:t>
                  </w:r>
                  <w:r>
                    <w:rPr>
                      <w:rFonts w:ascii="宋体" w:hAnsi="宋体"/>
                    </w:rPr>
                    <w:t>1</w:t>
                  </w:r>
                  <w:r>
                    <w:rPr>
                      <w:rFonts w:hint="eastAsia" w:ascii="宋体" w:hAnsi="宋体"/>
                    </w:rPr>
                    <w:t>52</w:t>
                  </w:r>
                </w:p>
              </w:tc>
            </w:tr>
          </w:tbl>
          <w:p>
            <w:pPr>
              <w:rPr>
                <w:rFonts w:ascii="宋体" w:hAnsi="宋体"/>
              </w:rPr>
            </w:pPr>
          </w:p>
        </w:tc>
        <w:tc>
          <w:tcPr>
            <w:tcW w:w="2714" w:type="dxa"/>
            <w:noWrap/>
            <w:vAlign w:val="top"/>
          </w:tcPr>
          <w:p>
            <w:pPr>
              <w:rPr>
                <w:rFonts w:ascii="宋体" w:hAnsi="宋体"/>
              </w:rPr>
            </w:pPr>
            <w:r>
              <w:rPr>
                <w:rFonts w:hint="eastAsia" w:ascii="宋体" w:hAnsi="宋体"/>
              </w:rPr>
              <w:t>燃油消耗率（g/kw.h）</w:t>
            </w:r>
          </w:p>
        </w:tc>
        <w:tc>
          <w:tcPr>
            <w:tcW w:w="852" w:type="dxa"/>
            <w:noWrap/>
            <w:vAlign w:val="top"/>
          </w:tcPr>
          <w:p>
            <w:pPr>
              <w:rPr>
                <w:rFonts w:ascii="宋体" w:hAnsi="宋体"/>
              </w:rPr>
            </w:pPr>
            <w:r>
              <w:rPr>
                <w:rFonts w:hint="eastAsia" w:ascii="宋体" w:hAnsi="宋体"/>
                <w:u w:val="dotted"/>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气缸总容积（L）</w:t>
            </w:r>
          </w:p>
        </w:tc>
        <w:tc>
          <w:tcPr>
            <w:tcW w:w="2287" w:type="dxa"/>
            <w:gridSpan w:val="2"/>
            <w:noWrap/>
            <w:vAlign w:val="center"/>
          </w:tcPr>
          <w:p>
            <w:pPr>
              <w:rPr>
                <w:rFonts w:ascii="宋体" w:hAnsi="宋体"/>
              </w:rPr>
            </w:pPr>
            <w:r>
              <w:rPr>
                <w:rFonts w:hint="eastAsia" w:ascii="宋体" w:hAnsi="宋体"/>
              </w:rPr>
              <w:t>14</w:t>
            </w:r>
          </w:p>
        </w:tc>
        <w:tc>
          <w:tcPr>
            <w:tcW w:w="2714" w:type="dxa"/>
            <w:noWrap/>
            <w:vAlign w:val="top"/>
          </w:tcPr>
          <w:p>
            <w:pPr>
              <w:rPr>
                <w:rFonts w:ascii="宋体" w:hAnsi="宋体"/>
              </w:rPr>
            </w:pPr>
            <w:r>
              <w:rPr>
                <w:rFonts w:hint="eastAsia" w:ascii="宋体" w:hAnsi="宋体"/>
              </w:rPr>
              <w:t>润滑油规格、等级</w:t>
            </w:r>
          </w:p>
        </w:tc>
        <w:tc>
          <w:tcPr>
            <w:tcW w:w="852" w:type="dxa"/>
            <w:noWrap/>
            <w:vAlign w:val="top"/>
          </w:tcPr>
          <w:p>
            <w:pPr>
              <w:rPr>
                <w:rFonts w:ascii="宋体" w:hAnsi="宋体"/>
              </w:rPr>
            </w:pPr>
            <w:r>
              <w:rPr>
                <w:rFonts w:ascii="宋体" w:hAnsi="宋体"/>
              </w:rPr>
              <w:t>API-C</w:t>
            </w:r>
            <w:r>
              <w:rPr>
                <w:rFonts w:hint="eastAsia" w:ascii="宋体" w:hAnsi="宋体"/>
              </w:rPr>
              <w:t>F级以上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压缩比</w:t>
            </w:r>
          </w:p>
        </w:tc>
        <w:tc>
          <w:tcPr>
            <w:tcW w:w="2287" w:type="dxa"/>
            <w:gridSpan w:val="2"/>
            <w:noWrap/>
            <w:vAlign w:val="center"/>
          </w:tcPr>
          <w:p>
            <w:pPr>
              <w:rPr>
                <w:rFonts w:ascii="宋体" w:hAnsi="宋体"/>
              </w:rPr>
            </w:pPr>
            <w:r>
              <w:rPr>
                <w:rFonts w:hint="eastAsia" w:ascii="宋体" w:hAnsi="宋体"/>
              </w:rPr>
              <w:t>14.5：1</w:t>
            </w:r>
          </w:p>
        </w:tc>
        <w:tc>
          <w:tcPr>
            <w:tcW w:w="2714" w:type="dxa"/>
            <w:noWrap/>
            <w:vAlign w:val="top"/>
          </w:tcPr>
          <w:p>
            <w:pPr>
              <w:rPr>
                <w:rFonts w:ascii="宋体" w:hAnsi="宋体"/>
              </w:rPr>
            </w:pPr>
            <w:r>
              <w:rPr>
                <w:rFonts w:hint="eastAsia" w:ascii="宋体" w:hAnsi="宋体"/>
              </w:rPr>
              <w:t>润滑油总容量（L）</w:t>
            </w:r>
          </w:p>
        </w:tc>
        <w:tc>
          <w:tcPr>
            <w:tcW w:w="852" w:type="dxa"/>
            <w:noWrap/>
            <w:vAlign w:val="top"/>
          </w:tcPr>
          <w:p>
            <w:pPr>
              <w:rPr>
                <w:rFonts w:ascii="宋体" w:hAnsi="宋体"/>
              </w:rPr>
            </w:pPr>
            <w:r>
              <w:rPr>
                <w:rFonts w:hint="eastAsia" w:ascii="宋体" w:hAnsi="宋体"/>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进气方式</w:t>
            </w:r>
          </w:p>
        </w:tc>
        <w:tc>
          <w:tcPr>
            <w:tcW w:w="2287" w:type="dxa"/>
            <w:gridSpan w:val="2"/>
            <w:noWrap/>
            <w:vAlign w:val="center"/>
          </w:tcPr>
          <w:p>
            <w:pPr>
              <w:rPr>
                <w:rFonts w:ascii="宋体" w:hAnsi="宋体"/>
              </w:rPr>
            </w:pPr>
            <w:r>
              <w:rPr>
                <w:rFonts w:hint="eastAsia" w:ascii="宋体" w:hAnsi="宋体"/>
              </w:rPr>
              <w:t>涡轮增压</w:t>
            </w:r>
          </w:p>
        </w:tc>
        <w:tc>
          <w:tcPr>
            <w:tcW w:w="2714" w:type="dxa"/>
            <w:noWrap/>
            <w:vAlign w:val="top"/>
          </w:tcPr>
          <w:p>
            <w:pPr>
              <w:rPr>
                <w:rFonts w:ascii="宋体" w:hAnsi="宋体"/>
              </w:rPr>
            </w:pPr>
            <w:r>
              <w:rPr>
                <w:rFonts w:hint="eastAsia" w:ascii="宋体" w:hAnsi="宋体"/>
              </w:rPr>
              <w:t>最高润滑油温度（℃）</w:t>
            </w:r>
          </w:p>
        </w:tc>
        <w:tc>
          <w:tcPr>
            <w:tcW w:w="852" w:type="dxa"/>
            <w:noWrap/>
            <w:vAlign w:val="top"/>
          </w:tcPr>
          <w:p>
            <w:pPr>
              <w:rPr>
                <w:rFonts w:ascii="宋体" w:hAnsi="宋体"/>
              </w:rPr>
            </w:pPr>
            <w:r>
              <w:rPr>
                <w:rFonts w:hint="eastAsia" w:ascii="宋体" w:hAnsi="宋体"/>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66" w:type="dxa"/>
            <w:gridSpan w:val="2"/>
            <w:noWrap/>
            <w:vAlign w:val="top"/>
          </w:tcPr>
          <w:p>
            <w:pPr>
              <w:rPr>
                <w:rFonts w:ascii="宋体" w:hAnsi="宋体"/>
              </w:rPr>
            </w:pPr>
            <w:r>
              <w:rPr>
                <w:rFonts w:hint="eastAsia" w:ascii="宋体" w:hAnsi="宋体"/>
              </w:rPr>
              <w:t>调速方式</w:t>
            </w:r>
          </w:p>
        </w:tc>
        <w:tc>
          <w:tcPr>
            <w:tcW w:w="2287" w:type="dxa"/>
            <w:gridSpan w:val="2"/>
            <w:noWrap/>
            <w:vAlign w:val="center"/>
          </w:tcPr>
          <w:p>
            <w:pPr>
              <w:rPr>
                <w:rFonts w:ascii="宋体" w:hAnsi="宋体"/>
              </w:rPr>
            </w:pPr>
            <w:r>
              <w:rPr>
                <w:rFonts w:hint="eastAsia" w:ascii="宋体" w:hAnsi="宋体"/>
              </w:rPr>
              <w:t>电子调速</w:t>
            </w:r>
          </w:p>
        </w:tc>
        <w:tc>
          <w:tcPr>
            <w:tcW w:w="2714" w:type="dxa"/>
            <w:noWrap/>
            <w:vAlign w:val="top"/>
          </w:tcPr>
          <w:p>
            <w:pPr>
              <w:rPr>
                <w:rFonts w:ascii="宋体" w:hAnsi="宋体"/>
              </w:rPr>
            </w:pPr>
            <w:r>
              <w:rPr>
                <w:rFonts w:hint="eastAsia" w:ascii="宋体" w:hAnsi="宋体"/>
              </w:rPr>
              <w:t>排烟最高温度（℃）</w:t>
            </w:r>
          </w:p>
        </w:tc>
        <w:tc>
          <w:tcPr>
            <w:tcW w:w="852" w:type="dxa"/>
            <w:noWrap/>
            <w:vAlign w:val="top"/>
          </w:tcPr>
          <w:p>
            <w:pPr>
              <w:rPr>
                <w:rFonts w:ascii="宋体" w:hAnsi="宋体"/>
              </w:rPr>
            </w:pPr>
            <w:r>
              <w:rPr>
                <w:rFonts w:hint="eastAsia" w:ascii="宋体" w:hAnsi="宋体"/>
              </w:rPr>
              <w:t>580/600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19" w:type="dxa"/>
            <w:gridSpan w:val="6"/>
            <w:noWrap/>
            <w:vAlign w:val="top"/>
          </w:tcPr>
          <w:p>
            <w:pPr>
              <w:rPr>
                <w:rFonts w:ascii="宋体" w:hAnsi="宋体"/>
                <w:b/>
                <w:u w:val="single"/>
              </w:rPr>
            </w:pPr>
            <w:r>
              <w:rPr>
                <w:rFonts w:hint="eastAsia" w:ascii="宋体" w:hAnsi="宋体"/>
                <w:b/>
                <w:sz w:val="30"/>
              </w:rPr>
              <w:t>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电压调整范围</w:t>
            </w:r>
          </w:p>
        </w:tc>
        <w:tc>
          <w:tcPr>
            <w:tcW w:w="2298" w:type="dxa"/>
            <w:gridSpan w:val="3"/>
            <w:noWrap/>
            <w:vAlign w:val="top"/>
          </w:tcPr>
          <w:p>
            <w:pPr>
              <w:rPr>
                <w:rFonts w:ascii="宋体" w:hAnsi="宋体"/>
              </w:rPr>
            </w:pPr>
            <w:r>
              <w:rPr>
                <w:rFonts w:hint="eastAsia" w:ascii="宋体" w:hAnsi="宋体"/>
              </w:rPr>
              <w:t>≥±5%</w:t>
            </w:r>
          </w:p>
        </w:tc>
        <w:tc>
          <w:tcPr>
            <w:tcW w:w="2714" w:type="dxa"/>
            <w:noWrap/>
            <w:vAlign w:val="top"/>
          </w:tcPr>
          <w:p>
            <w:pPr>
              <w:rPr>
                <w:rFonts w:ascii="宋体" w:hAnsi="宋体"/>
              </w:rPr>
            </w:pPr>
            <w:r>
              <w:rPr>
                <w:rFonts w:hint="eastAsia" w:ascii="宋体" w:hAnsi="宋体"/>
              </w:rPr>
              <w:t>励磁方式</w:t>
            </w:r>
          </w:p>
        </w:tc>
        <w:tc>
          <w:tcPr>
            <w:tcW w:w="852" w:type="dxa"/>
            <w:noWrap/>
            <w:vAlign w:val="top"/>
          </w:tcPr>
          <w:p>
            <w:pPr>
              <w:rPr>
                <w:rFonts w:ascii="宋体" w:hAnsi="宋体"/>
              </w:rPr>
            </w:pPr>
            <w:r>
              <w:rPr>
                <w:rFonts w:hint="eastAsia" w:ascii="宋体" w:hAnsi="宋体"/>
              </w:rPr>
              <w:t>无刷自励式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稳态电压调整率</w:t>
            </w:r>
          </w:p>
        </w:tc>
        <w:tc>
          <w:tcPr>
            <w:tcW w:w="2298" w:type="dxa"/>
            <w:gridSpan w:val="3"/>
            <w:noWrap/>
            <w:vAlign w:val="top"/>
          </w:tcPr>
          <w:p>
            <w:pPr>
              <w:rPr>
                <w:rFonts w:ascii="宋体" w:hAnsi="宋体"/>
              </w:rPr>
            </w:pPr>
            <w:r>
              <w:rPr>
                <w:rFonts w:hint="eastAsia" w:ascii="宋体" w:hAnsi="宋体"/>
              </w:rPr>
              <w:t>±0.5%</w:t>
            </w:r>
          </w:p>
        </w:tc>
        <w:tc>
          <w:tcPr>
            <w:tcW w:w="2714" w:type="dxa"/>
            <w:noWrap/>
            <w:vAlign w:val="top"/>
          </w:tcPr>
          <w:p>
            <w:pPr>
              <w:rPr>
                <w:rFonts w:ascii="宋体" w:hAnsi="宋体"/>
              </w:rPr>
            </w:pPr>
            <w:r>
              <w:rPr>
                <w:rFonts w:hint="eastAsia" w:ascii="宋体" w:hAnsi="宋体"/>
              </w:rPr>
              <w:t>电压控制方式</w:t>
            </w:r>
          </w:p>
        </w:tc>
        <w:tc>
          <w:tcPr>
            <w:tcW w:w="852" w:type="dxa"/>
            <w:noWrap/>
            <w:vAlign w:val="top"/>
          </w:tcPr>
          <w:p>
            <w:pPr>
              <w:rPr>
                <w:rFonts w:ascii="宋体" w:hAnsi="宋体"/>
              </w:rPr>
            </w:pPr>
            <w:r>
              <w:rPr>
                <w:rFonts w:hint="eastAsia" w:ascii="宋体" w:hAnsi="宋体"/>
              </w:rPr>
              <w:t>AVR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稳态频率调整率</w:t>
            </w:r>
          </w:p>
        </w:tc>
        <w:tc>
          <w:tcPr>
            <w:tcW w:w="2298" w:type="dxa"/>
            <w:gridSpan w:val="3"/>
            <w:noWrap/>
            <w:vAlign w:val="top"/>
          </w:tcPr>
          <w:p>
            <w:pPr>
              <w:rPr>
                <w:rFonts w:ascii="宋体" w:hAnsi="宋体"/>
              </w:rPr>
            </w:pPr>
            <w:r>
              <w:rPr>
                <w:rFonts w:hint="eastAsia" w:ascii="宋体" w:hAnsi="宋体"/>
              </w:rPr>
              <w:t>≤1%</w:t>
            </w:r>
          </w:p>
        </w:tc>
        <w:tc>
          <w:tcPr>
            <w:tcW w:w="2714" w:type="dxa"/>
            <w:noWrap/>
            <w:vAlign w:val="top"/>
          </w:tcPr>
          <w:p>
            <w:pPr>
              <w:rPr>
                <w:rFonts w:ascii="宋体" w:hAnsi="宋体"/>
              </w:rPr>
            </w:pPr>
            <w:r>
              <w:rPr>
                <w:rFonts w:hint="eastAsia" w:ascii="宋体" w:hAnsi="宋体"/>
              </w:rPr>
              <w:t>瞬态电压调整率</w:t>
            </w:r>
          </w:p>
        </w:tc>
        <w:tc>
          <w:tcPr>
            <w:tcW w:w="852" w:type="dxa"/>
            <w:noWrap/>
            <w:vAlign w:val="top"/>
          </w:tcPr>
          <w:p>
            <w:pPr>
              <w:rPr>
                <w:rFonts w:ascii="宋体" w:hAnsi="宋体"/>
              </w:rPr>
            </w:pPr>
            <w:r>
              <w:rPr>
                <w:rFonts w:hint="eastAsia" w:ascii="宋体" w:hAnsi="宋体"/>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温升</w:t>
            </w:r>
          </w:p>
        </w:tc>
        <w:tc>
          <w:tcPr>
            <w:tcW w:w="2298" w:type="dxa"/>
            <w:gridSpan w:val="3"/>
            <w:noWrap/>
            <w:vAlign w:val="top"/>
          </w:tcPr>
          <w:p>
            <w:pPr>
              <w:rPr>
                <w:rFonts w:ascii="宋体" w:hAnsi="宋体"/>
              </w:rPr>
            </w:pPr>
            <w:r>
              <w:rPr>
                <w:rFonts w:ascii="宋体" w:hAnsi="宋体"/>
              </w:rPr>
              <w:t>H</w:t>
            </w:r>
            <w:r>
              <w:rPr>
                <w:rFonts w:hint="eastAsia" w:ascii="宋体" w:hAnsi="宋体" w:cs="幼圆+′_x0003_..."/>
                <w:color w:val="000000"/>
                <w:kern w:val="0"/>
                <w:szCs w:val="21"/>
              </w:rPr>
              <w:t>℃</w:t>
            </w:r>
          </w:p>
        </w:tc>
        <w:tc>
          <w:tcPr>
            <w:tcW w:w="2714" w:type="dxa"/>
            <w:noWrap/>
            <w:vAlign w:val="top"/>
          </w:tcPr>
          <w:p>
            <w:pPr>
              <w:rPr>
                <w:rFonts w:ascii="宋体" w:hAnsi="宋体"/>
              </w:rPr>
            </w:pPr>
            <w:r>
              <w:rPr>
                <w:rFonts w:hint="eastAsia" w:ascii="宋体" w:hAnsi="宋体"/>
              </w:rPr>
              <w:t>频率稳定时间</w:t>
            </w:r>
          </w:p>
        </w:tc>
        <w:tc>
          <w:tcPr>
            <w:tcW w:w="852" w:type="dxa"/>
            <w:noWrap/>
            <w:vAlign w:val="top"/>
          </w:tcPr>
          <w:p>
            <w:pPr>
              <w:rPr>
                <w:rFonts w:ascii="宋体" w:hAnsi="宋体"/>
              </w:rPr>
            </w:pPr>
            <w:r>
              <w:rPr>
                <w:rFonts w:hint="eastAsia" w:ascii="宋体" w:hAnsi="宋体"/>
              </w:rPr>
              <w:t>≤3S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绝缘等级</w:t>
            </w:r>
          </w:p>
        </w:tc>
        <w:tc>
          <w:tcPr>
            <w:tcW w:w="2298" w:type="dxa"/>
            <w:gridSpan w:val="3"/>
            <w:noWrap/>
            <w:vAlign w:val="top"/>
          </w:tcPr>
          <w:p>
            <w:pPr>
              <w:rPr>
                <w:rFonts w:ascii="宋体" w:hAnsi="宋体"/>
              </w:rPr>
            </w:pPr>
            <w:r>
              <w:rPr>
                <w:rFonts w:hint="eastAsia" w:ascii="宋体" w:hAnsi="宋体"/>
              </w:rPr>
              <w:t>H级</w:t>
            </w:r>
          </w:p>
        </w:tc>
        <w:tc>
          <w:tcPr>
            <w:tcW w:w="2714" w:type="dxa"/>
            <w:noWrap/>
            <w:vAlign w:val="top"/>
          </w:tcPr>
          <w:p>
            <w:pPr>
              <w:rPr>
                <w:rFonts w:ascii="宋体" w:hAnsi="宋体"/>
              </w:rPr>
            </w:pPr>
            <w:r>
              <w:rPr>
                <w:rFonts w:hint="eastAsia" w:ascii="宋体" w:hAnsi="宋体"/>
              </w:rPr>
              <w:t>过电流</w:t>
            </w:r>
          </w:p>
        </w:tc>
        <w:tc>
          <w:tcPr>
            <w:tcW w:w="852" w:type="dxa"/>
            <w:noWrap/>
            <w:vAlign w:val="top"/>
          </w:tcPr>
          <w:p>
            <w:pPr>
              <w:rPr>
                <w:rFonts w:ascii="宋体" w:hAnsi="宋体"/>
              </w:rPr>
            </w:pPr>
            <w:r>
              <w:rPr>
                <w:rFonts w:hint="eastAsia" w:ascii="宋体" w:hAnsi="宋体"/>
              </w:rPr>
              <w:t>3～5le≥5S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防护等级</w:t>
            </w:r>
          </w:p>
        </w:tc>
        <w:tc>
          <w:tcPr>
            <w:tcW w:w="2298" w:type="dxa"/>
            <w:gridSpan w:val="3"/>
            <w:noWrap/>
            <w:vAlign w:val="top"/>
          </w:tcPr>
          <w:p>
            <w:pPr>
              <w:rPr>
                <w:rFonts w:ascii="宋体" w:hAnsi="宋体"/>
              </w:rPr>
            </w:pPr>
            <w:r>
              <w:rPr>
                <w:rFonts w:hint="eastAsia" w:ascii="宋体" w:hAnsi="宋体"/>
              </w:rPr>
              <w:t>IP23级</w:t>
            </w:r>
          </w:p>
        </w:tc>
        <w:tc>
          <w:tcPr>
            <w:tcW w:w="2714" w:type="dxa"/>
            <w:noWrap/>
            <w:vAlign w:val="top"/>
          </w:tcPr>
          <w:p>
            <w:pPr>
              <w:rPr>
                <w:rFonts w:ascii="宋体" w:hAnsi="宋体"/>
              </w:rPr>
            </w:pPr>
            <w:r>
              <w:rPr>
                <w:rFonts w:hint="eastAsia" w:ascii="宋体" w:hAnsi="宋体"/>
              </w:rPr>
              <w:t>过载能力</w:t>
            </w:r>
          </w:p>
        </w:tc>
        <w:tc>
          <w:tcPr>
            <w:tcW w:w="852" w:type="dxa"/>
            <w:noWrap/>
            <w:vAlign w:val="top"/>
          </w:tcPr>
          <w:p>
            <w:pPr>
              <w:rPr>
                <w:rFonts w:ascii="宋体" w:hAnsi="宋体"/>
              </w:rPr>
            </w:pPr>
            <w:r>
              <w:rPr>
                <w:rFonts w:hint="eastAsia" w:ascii="宋体" w:hAnsi="宋体"/>
              </w:rPr>
              <w:t>1.5倍2分钟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效率</w:t>
            </w:r>
          </w:p>
        </w:tc>
        <w:tc>
          <w:tcPr>
            <w:tcW w:w="2298" w:type="dxa"/>
            <w:gridSpan w:val="3"/>
            <w:noWrap/>
            <w:vAlign w:val="top"/>
          </w:tcPr>
          <w:p>
            <w:pPr>
              <w:rPr>
                <w:rFonts w:ascii="宋体" w:hAnsi="宋体"/>
              </w:rPr>
            </w:pPr>
            <w:r>
              <w:rPr>
                <w:rFonts w:hint="eastAsia" w:ascii="宋体" w:hAnsi="宋体"/>
              </w:rPr>
              <w:t>94.4%</w:t>
            </w:r>
          </w:p>
        </w:tc>
        <w:tc>
          <w:tcPr>
            <w:tcW w:w="2714" w:type="dxa"/>
            <w:noWrap/>
            <w:vAlign w:val="top"/>
          </w:tcPr>
          <w:p>
            <w:pPr>
              <w:rPr>
                <w:rFonts w:ascii="宋体" w:hAnsi="宋体"/>
              </w:rPr>
            </w:pPr>
            <w:r>
              <w:rPr>
                <w:rFonts w:hint="eastAsia" w:ascii="宋体" w:hAnsi="宋体"/>
              </w:rPr>
              <w:t>短路能力</w:t>
            </w:r>
          </w:p>
        </w:tc>
        <w:tc>
          <w:tcPr>
            <w:tcW w:w="852" w:type="dxa"/>
            <w:noWrap/>
            <w:vAlign w:val="top"/>
          </w:tcPr>
          <w:p>
            <w:pPr>
              <w:rPr>
                <w:rFonts w:ascii="宋体" w:hAnsi="宋体"/>
              </w:rPr>
            </w:pPr>
            <w:r>
              <w:rPr>
                <w:rFonts w:hint="eastAsia" w:ascii="宋体" w:hAnsi="宋体"/>
              </w:rPr>
              <w:t>3倍2秒钟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755" w:type="dxa"/>
            <w:noWrap/>
            <w:vAlign w:val="top"/>
          </w:tcPr>
          <w:p>
            <w:pPr>
              <w:rPr>
                <w:rFonts w:ascii="宋体" w:hAnsi="宋体"/>
              </w:rPr>
            </w:pPr>
            <w:r>
              <w:rPr>
                <w:rFonts w:hint="eastAsia" w:ascii="宋体" w:hAnsi="宋体"/>
              </w:rPr>
              <w:t>电话干扰系数</w:t>
            </w:r>
          </w:p>
        </w:tc>
        <w:tc>
          <w:tcPr>
            <w:tcW w:w="2298" w:type="dxa"/>
            <w:gridSpan w:val="3"/>
            <w:noWrap/>
            <w:vAlign w:val="top"/>
          </w:tcPr>
          <w:p>
            <w:pPr>
              <w:rPr>
                <w:rFonts w:ascii="宋体" w:hAnsi="宋体"/>
              </w:rPr>
            </w:pPr>
            <w:r>
              <w:rPr>
                <w:rFonts w:hint="eastAsia" w:ascii="宋体" w:hAnsi="宋体"/>
              </w:rPr>
              <w:t>THF&lt;2%,  TIF&lt;50</w:t>
            </w:r>
          </w:p>
        </w:tc>
        <w:tc>
          <w:tcPr>
            <w:tcW w:w="2714" w:type="dxa"/>
            <w:noWrap/>
            <w:vAlign w:val="top"/>
          </w:tcPr>
          <w:p>
            <w:pPr>
              <w:rPr>
                <w:rFonts w:ascii="宋体" w:hAnsi="宋体"/>
              </w:rPr>
            </w:pPr>
            <w:r>
              <w:rPr>
                <w:rFonts w:hint="eastAsia" w:ascii="宋体" w:hAnsi="宋体"/>
              </w:rPr>
              <w:t>冷却方式</w:t>
            </w:r>
          </w:p>
        </w:tc>
        <w:tc>
          <w:tcPr>
            <w:tcW w:w="852" w:type="dxa"/>
            <w:noWrap/>
            <w:vAlign w:val="top"/>
          </w:tcPr>
          <w:p>
            <w:pPr>
              <w:rPr>
                <w:rFonts w:ascii="宋体" w:hAnsi="宋体"/>
              </w:rPr>
            </w:pPr>
            <w:r>
              <w:rPr>
                <w:rFonts w:hint="eastAsia" w:ascii="宋体" w:hAnsi="宋体"/>
              </w:rPr>
              <w:t>自冷式</w:t>
            </w:r>
          </w:p>
        </w:tc>
      </w:tr>
    </w:tbl>
    <w:p>
      <w:pPr>
        <w:pStyle w:val="2"/>
        <w:ind w:firstLine="0" w:firstLineChars="0"/>
      </w:pPr>
      <w:r>
        <w:rPr>
          <w:rFonts w:hint="eastAsia"/>
          <w:lang w:val="en-US" w:eastAsia="zh-CN"/>
        </w:rPr>
        <w:t>160KW发电机组 技术参数要求</w:t>
      </w:r>
    </w:p>
    <w:p>
      <w:pPr>
        <w:pStyle w:val="2"/>
        <w:ind w:firstLine="0" w:firstLineChars="0"/>
      </w:pPr>
    </w:p>
    <w:tbl>
      <w:tblPr>
        <w:tblStyle w:val="75"/>
        <w:tblW w:w="84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6"/>
        <w:gridCol w:w="641"/>
        <w:gridCol w:w="1714"/>
        <w:gridCol w:w="91"/>
        <w:gridCol w:w="312"/>
        <w:gridCol w:w="2212"/>
        <w:gridCol w:w="443"/>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29" w:type="dxa"/>
            <w:gridSpan w:val="8"/>
            <w:noWrap/>
            <w:vAlign w:val="top"/>
          </w:tcPr>
          <w:p>
            <w:pPr>
              <w:rPr>
                <w:rFonts w:ascii="宋体" w:hAnsi="宋体"/>
              </w:rPr>
            </w:pPr>
            <w:r>
              <w:rPr>
                <w:rFonts w:hint="eastAsia" w:ascii="宋体" w:hAnsi="宋体"/>
                <w:b/>
                <w:sz w:val="28"/>
                <w:szCs w:val="28"/>
              </w:rPr>
              <w:t>柴油发电机组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常用功率（kW）</w:t>
            </w:r>
          </w:p>
        </w:tc>
        <w:tc>
          <w:tcPr>
            <w:tcW w:w="3917" w:type="dxa"/>
            <w:gridSpan w:val="4"/>
            <w:noWrap/>
            <w:vAlign w:val="top"/>
          </w:tcPr>
          <w:p>
            <w:pPr>
              <w:rPr>
                <w:rFonts w:ascii="宋体" w:hAnsi="宋体"/>
              </w:rPr>
            </w:pPr>
            <w:r>
              <w:rPr>
                <w:rFonts w:hint="eastAsia" w:ascii="宋体" w:hAnsi="宋体"/>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备用功率（KW）</w:t>
            </w:r>
          </w:p>
        </w:tc>
        <w:tc>
          <w:tcPr>
            <w:tcW w:w="3917" w:type="dxa"/>
            <w:gridSpan w:val="4"/>
            <w:noWrap/>
            <w:vAlign w:val="top"/>
          </w:tcPr>
          <w:p>
            <w:pPr>
              <w:rPr>
                <w:rFonts w:ascii="宋体" w:hAnsi="宋体"/>
              </w:rPr>
            </w:pPr>
            <w:r>
              <w:rPr>
                <w:rFonts w:hint="eastAsia" w:ascii="宋体" w:hAnsi="宋体"/>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输出容量（kVA）</w:t>
            </w:r>
          </w:p>
        </w:tc>
        <w:tc>
          <w:tcPr>
            <w:tcW w:w="3917" w:type="dxa"/>
            <w:gridSpan w:val="4"/>
            <w:noWrap/>
            <w:vAlign w:val="top"/>
          </w:tcPr>
          <w:p>
            <w:pPr>
              <w:rPr>
                <w:rFonts w:ascii="宋体" w:hAnsi="宋体"/>
              </w:rPr>
            </w:pPr>
            <w:r>
              <w:rPr>
                <w:rFonts w:hint="eastAsia" w:ascii="宋体" w:hAnsi="宋体"/>
              </w:rPr>
              <w:t>200/225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功率因数</w:t>
            </w:r>
          </w:p>
        </w:tc>
        <w:tc>
          <w:tcPr>
            <w:tcW w:w="3917" w:type="dxa"/>
            <w:gridSpan w:val="4"/>
            <w:noWrap/>
            <w:vAlign w:val="top"/>
          </w:tcPr>
          <w:p>
            <w:pPr>
              <w:rPr>
                <w:rFonts w:ascii="宋体" w:hAnsi="宋体"/>
              </w:rPr>
            </w:pPr>
            <w:r>
              <w:rPr>
                <w:rFonts w:ascii="宋体" w:hAnsi="宋体"/>
              </w:rPr>
              <w:t>0.8</w:t>
            </w:r>
            <w:r>
              <w:rPr>
                <w:rFonts w:hint="eastAsia" w:ascii="宋体" w:hAnsi="宋体"/>
              </w:rPr>
              <w:t>（滞后）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频率(Hz)</w:t>
            </w:r>
          </w:p>
        </w:tc>
        <w:tc>
          <w:tcPr>
            <w:tcW w:w="3917" w:type="dxa"/>
            <w:gridSpan w:val="4"/>
            <w:noWrap/>
            <w:vAlign w:val="top"/>
          </w:tcPr>
          <w:p>
            <w:pPr>
              <w:rPr>
                <w:rFonts w:ascii="宋体" w:hAnsi="宋体"/>
              </w:rPr>
            </w:pPr>
            <w:r>
              <w:rPr>
                <w:rFonts w:hint="eastAsia" w:ascii="宋体" w:hAnsi="宋体"/>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输出电压（V）</w:t>
            </w:r>
          </w:p>
        </w:tc>
        <w:tc>
          <w:tcPr>
            <w:tcW w:w="3917" w:type="dxa"/>
            <w:gridSpan w:val="4"/>
            <w:noWrap/>
            <w:vAlign w:val="top"/>
          </w:tcPr>
          <w:p>
            <w:pPr>
              <w:rPr>
                <w:rFonts w:ascii="宋体" w:hAnsi="宋体"/>
              </w:rPr>
            </w:pPr>
            <w:r>
              <w:rPr>
                <w:rFonts w:hint="eastAsia" w:ascii="宋体" w:hAnsi="宋体"/>
              </w:rPr>
              <w:t>400 / 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12" w:type="dxa"/>
            <w:gridSpan w:val="4"/>
            <w:noWrap/>
            <w:vAlign w:val="top"/>
          </w:tcPr>
          <w:p>
            <w:pPr>
              <w:rPr>
                <w:rFonts w:ascii="宋体" w:hAnsi="宋体"/>
              </w:rPr>
            </w:pPr>
            <w:r>
              <w:rPr>
                <w:rFonts w:hint="eastAsia" w:ascii="宋体" w:hAnsi="宋体"/>
              </w:rPr>
              <w:t>最大（长行/备用）输出电流（A）</w:t>
            </w:r>
          </w:p>
        </w:tc>
        <w:tc>
          <w:tcPr>
            <w:tcW w:w="3917" w:type="dxa"/>
            <w:gridSpan w:val="4"/>
            <w:noWrap/>
            <w:vAlign w:val="top"/>
          </w:tcPr>
          <w:p>
            <w:pPr>
              <w:rPr>
                <w:rFonts w:ascii="宋体" w:hAnsi="宋体"/>
              </w:rPr>
            </w:pPr>
            <w:r>
              <w:rPr>
                <w:rFonts w:hint="eastAsia" w:ascii="宋体" w:hAnsi="宋体"/>
              </w:rPr>
              <w:t>288/324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29" w:type="dxa"/>
            <w:gridSpan w:val="8"/>
            <w:noWrap/>
            <w:vAlign w:val="top"/>
          </w:tcPr>
          <w:p>
            <w:pPr>
              <w:rPr>
                <w:rFonts w:ascii="宋体" w:hAnsi="宋体"/>
                <w:b/>
                <w:u w:val="single"/>
              </w:rPr>
            </w:pPr>
            <w:r>
              <w:rPr>
                <w:rFonts w:hint="eastAsia" w:ascii="宋体" w:hAnsi="宋体"/>
                <w:b/>
                <w:sz w:val="30"/>
              </w:rPr>
              <w:t>柴油机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07" w:type="dxa"/>
            <w:gridSpan w:val="2"/>
            <w:noWrap/>
            <w:vAlign w:val="top"/>
          </w:tcPr>
          <w:p>
            <w:pPr>
              <w:rPr>
                <w:rFonts w:ascii="宋体" w:hAnsi="宋体"/>
              </w:rPr>
            </w:pPr>
            <w:r>
              <w:rPr>
                <w:rFonts w:hint="eastAsia" w:ascii="宋体" w:hAnsi="宋体"/>
              </w:rPr>
              <w:t>气缸数</w:t>
            </w:r>
          </w:p>
        </w:tc>
        <w:tc>
          <w:tcPr>
            <w:tcW w:w="2117" w:type="dxa"/>
            <w:gridSpan w:val="3"/>
            <w:noWrap/>
            <w:vAlign w:val="center"/>
          </w:tcPr>
          <w:p>
            <w:pPr>
              <w:rPr>
                <w:rFonts w:ascii="宋体" w:hAnsi="宋体"/>
              </w:rPr>
            </w:pPr>
            <w:r>
              <w:rPr>
                <w:rFonts w:hint="eastAsia" w:ascii="宋体" w:hAnsi="宋体"/>
              </w:rPr>
              <w:t>6</w:t>
            </w:r>
          </w:p>
        </w:tc>
        <w:tc>
          <w:tcPr>
            <w:tcW w:w="2655" w:type="dxa"/>
            <w:gridSpan w:val="2"/>
            <w:noWrap/>
            <w:vAlign w:val="top"/>
          </w:tcPr>
          <w:p>
            <w:pPr>
              <w:rPr>
                <w:rFonts w:ascii="宋体" w:hAnsi="宋体"/>
              </w:rPr>
            </w:pPr>
            <w:r>
              <w:rPr>
                <w:rFonts w:hint="eastAsia" w:ascii="宋体" w:hAnsi="宋体"/>
              </w:rPr>
              <w:t>最大输出功率（kW）</w:t>
            </w:r>
          </w:p>
        </w:tc>
        <w:tc>
          <w:tcPr>
            <w:tcW w:w="950" w:type="dxa"/>
            <w:noWrap/>
            <w:vAlign w:val="top"/>
          </w:tcPr>
          <w:p>
            <w:pPr>
              <w:rPr>
                <w:rFonts w:ascii="宋体" w:hAnsi="宋体"/>
              </w:rPr>
            </w:pPr>
            <w:r>
              <w:rPr>
                <w:rFonts w:hint="eastAsia" w:ascii="宋体" w:hAnsi="宋体"/>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07" w:type="dxa"/>
            <w:gridSpan w:val="2"/>
            <w:noWrap/>
            <w:vAlign w:val="top"/>
          </w:tcPr>
          <w:p>
            <w:pPr>
              <w:rPr>
                <w:rFonts w:ascii="宋体" w:hAnsi="宋体"/>
              </w:rPr>
            </w:pPr>
            <w:r>
              <w:rPr>
                <w:rFonts w:hint="eastAsia" w:ascii="宋体" w:hAnsi="宋体"/>
              </w:rPr>
              <w:t>气缸排列方式</w:t>
            </w:r>
          </w:p>
        </w:tc>
        <w:tc>
          <w:tcPr>
            <w:tcW w:w="2117" w:type="dxa"/>
            <w:gridSpan w:val="3"/>
            <w:noWrap/>
            <w:vAlign w:val="center"/>
          </w:tcPr>
          <w:p>
            <w:pPr>
              <w:rPr>
                <w:rFonts w:ascii="宋体" w:hAnsi="宋体"/>
              </w:rPr>
            </w:pPr>
            <w:r>
              <w:rPr>
                <w:rFonts w:hint="eastAsia" w:ascii="宋体" w:hAnsi="宋体"/>
              </w:rPr>
              <w:t>L</w:t>
            </w:r>
          </w:p>
        </w:tc>
        <w:tc>
          <w:tcPr>
            <w:tcW w:w="2655" w:type="dxa"/>
            <w:gridSpan w:val="2"/>
            <w:noWrap/>
            <w:vAlign w:val="top"/>
          </w:tcPr>
          <w:p>
            <w:pPr>
              <w:rPr>
                <w:rFonts w:ascii="宋体" w:hAnsi="宋体"/>
              </w:rPr>
            </w:pPr>
            <w:r>
              <w:rPr>
                <w:rFonts w:hint="eastAsia" w:ascii="宋体" w:hAnsi="宋体"/>
              </w:rPr>
              <w:t>燃油规格、等级</w:t>
            </w:r>
          </w:p>
        </w:tc>
        <w:tc>
          <w:tcPr>
            <w:tcW w:w="950" w:type="dxa"/>
            <w:noWrap/>
            <w:vAlign w:val="top"/>
          </w:tcPr>
          <w:p>
            <w:pPr>
              <w:rPr>
                <w:rFonts w:ascii="宋体" w:hAnsi="宋体"/>
              </w:rPr>
            </w:pPr>
            <w:r>
              <w:rPr>
                <w:rFonts w:hint="eastAsia" w:ascii="宋体" w:hAnsi="宋体"/>
              </w:rPr>
              <w:t>中国0#(轻柴油)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07" w:type="dxa"/>
            <w:gridSpan w:val="2"/>
            <w:noWrap/>
            <w:vAlign w:val="top"/>
          </w:tcPr>
          <w:p>
            <w:pPr>
              <w:rPr>
                <w:rFonts w:ascii="宋体" w:hAnsi="宋体"/>
              </w:rPr>
            </w:pPr>
            <w:r>
              <w:rPr>
                <w:rFonts w:hint="eastAsia" w:ascii="宋体" w:hAnsi="宋体"/>
              </w:rPr>
              <w:t>缸径/行程（mm）</w:t>
            </w:r>
          </w:p>
        </w:tc>
        <w:tc>
          <w:tcPr>
            <w:tcW w:w="2117" w:type="dxa"/>
            <w:gridSpan w:val="3"/>
            <w:noWrap/>
            <w:vAlign w:val="center"/>
          </w:tcPr>
          <w:p>
            <w:pPr>
              <w:rPr>
                <w:rFonts w:ascii="宋体" w:hAnsi="宋体"/>
              </w:rPr>
            </w:pPr>
            <w:r>
              <w:rPr>
                <w:rFonts w:hint="eastAsia" w:ascii="宋体" w:hAnsi="宋体"/>
              </w:rPr>
              <w:t>114/135</w:t>
            </w:r>
          </w:p>
        </w:tc>
        <w:tc>
          <w:tcPr>
            <w:tcW w:w="2655" w:type="dxa"/>
            <w:gridSpan w:val="2"/>
            <w:noWrap/>
            <w:vAlign w:val="top"/>
          </w:tcPr>
          <w:p>
            <w:pPr>
              <w:rPr>
                <w:rFonts w:ascii="宋体" w:hAnsi="宋体"/>
              </w:rPr>
            </w:pPr>
            <w:r>
              <w:rPr>
                <w:rFonts w:hint="eastAsia" w:ascii="宋体" w:hAnsi="宋体"/>
              </w:rPr>
              <w:t>燃油消耗率（g/kw.h）</w:t>
            </w:r>
          </w:p>
        </w:tc>
        <w:tc>
          <w:tcPr>
            <w:tcW w:w="950" w:type="dxa"/>
            <w:noWrap/>
            <w:vAlign w:val="top"/>
          </w:tcPr>
          <w:p>
            <w:pPr>
              <w:rPr>
                <w:rFonts w:ascii="宋体" w:hAnsi="宋体"/>
              </w:rPr>
            </w:pPr>
            <w:r>
              <w:rPr>
                <w:rFonts w:hint="eastAsia" w:ascii="宋体" w:hAnsi="宋体"/>
                <w:u w:val="dotted"/>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07" w:type="dxa"/>
            <w:gridSpan w:val="2"/>
            <w:noWrap/>
            <w:vAlign w:val="top"/>
          </w:tcPr>
          <w:p>
            <w:pPr>
              <w:rPr>
                <w:rFonts w:ascii="宋体" w:hAnsi="宋体"/>
              </w:rPr>
            </w:pPr>
            <w:r>
              <w:rPr>
                <w:rFonts w:hint="eastAsia" w:ascii="宋体" w:hAnsi="宋体"/>
              </w:rPr>
              <w:t>气缸总容积（L）</w:t>
            </w:r>
          </w:p>
        </w:tc>
        <w:tc>
          <w:tcPr>
            <w:tcW w:w="2117" w:type="dxa"/>
            <w:gridSpan w:val="3"/>
            <w:noWrap/>
            <w:vAlign w:val="center"/>
          </w:tcPr>
          <w:p>
            <w:pPr>
              <w:rPr>
                <w:rFonts w:ascii="宋体" w:hAnsi="宋体"/>
              </w:rPr>
            </w:pPr>
            <w:r>
              <w:rPr>
                <w:rFonts w:hint="eastAsia" w:ascii="宋体" w:hAnsi="宋体"/>
              </w:rPr>
              <w:t>8.3</w:t>
            </w:r>
          </w:p>
        </w:tc>
        <w:tc>
          <w:tcPr>
            <w:tcW w:w="2655" w:type="dxa"/>
            <w:gridSpan w:val="2"/>
            <w:noWrap/>
            <w:vAlign w:val="top"/>
          </w:tcPr>
          <w:p>
            <w:pPr>
              <w:rPr>
                <w:rFonts w:ascii="宋体" w:hAnsi="宋体"/>
              </w:rPr>
            </w:pPr>
            <w:r>
              <w:rPr>
                <w:rFonts w:hint="eastAsia" w:ascii="宋体" w:hAnsi="宋体"/>
              </w:rPr>
              <w:t>润滑油规格、等级</w:t>
            </w:r>
          </w:p>
        </w:tc>
        <w:tc>
          <w:tcPr>
            <w:tcW w:w="950" w:type="dxa"/>
            <w:noWrap/>
            <w:vAlign w:val="top"/>
          </w:tcPr>
          <w:p>
            <w:pPr>
              <w:rPr>
                <w:rFonts w:ascii="宋体" w:hAnsi="宋体"/>
              </w:rPr>
            </w:pPr>
            <w:r>
              <w:rPr>
                <w:rFonts w:ascii="宋体" w:hAnsi="宋体"/>
              </w:rPr>
              <w:t>API-C</w:t>
            </w:r>
            <w:r>
              <w:rPr>
                <w:rFonts w:hint="eastAsia" w:ascii="宋体" w:hAnsi="宋体"/>
              </w:rPr>
              <w:t>H级以上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07" w:type="dxa"/>
            <w:gridSpan w:val="2"/>
            <w:noWrap/>
            <w:vAlign w:val="top"/>
          </w:tcPr>
          <w:p>
            <w:pPr>
              <w:rPr>
                <w:rFonts w:ascii="宋体" w:hAnsi="宋体"/>
              </w:rPr>
            </w:pPr>
            <w:r>
              <w:rPr>
                <w:rFonts w:hint="eastAsia" w:ascii="宋体" w:hAnsi="宋体"/>
              </w:rPr>
              <w:t>压缩比</w:t>
            </w:r>
          </w:p>
        </w:tc>
        <w:tc>
          <w:tcPr>
            <w:tcW w:w="2117" w:type="dxa"/>
            <w:gridSpan w:val="3"/>
            <w:noWrap/>
            <w:vAlign w:val="center"/>
          </w:tcPr>
          <w:p>
            <w:pPr>
              <w:rPr>
                <w:rFonts w:ascii="宋体" w:hAnsi="宋体"/>
              </w:rPr>
            </w:pPr>
            <w:r>
              <w:rPr>
                <w:rFonts w:hint="eastAsia" w:ascii="宋体" w:hAnsi="宋体"/>
              </w:rPr>
              <w:t>18</w:t>
            </w:r>
            <w:r>
              <w:rPr>
                <w:rFonts w:hint="eastAsia" w:ascii="宋体" w:hAnsi="宋体"/>
                <w:b/>
              </w:rPr>
              <w:t>:</w:t>
            </w:r>
            <w:r>
              <w:rPr>
                <w:rFonts w:hint="eastAsia" w:ascii="宋体" w:hAnsi="宋体"/>
              </w:rPr>
              <w:t>1</w:t>
            </w:r>
          </w:p>
        </w:tc>
        <w:tc>
          <w:tcPr>
            <w:tcW w:w="2655" w:type="dxa"/>
            <w:gridSpan w:val="2"/>
            <w:noWrap/>
            <w:vAlign w:val="top"/>
          </w:tcPr>
          <w:p>
            <w:pPr>
              <w:rPr>
                <w:rFonts w:ascii="宋体" w:hAnsi="宋体"/>
              </w:rPr>
            </w:pPr>
            <w:r>
              <w:rPr>
                <w:rFonts w:hint="eastAsia" w:ascii="宋体" w:hAnsi="宋体"/>
              </w:rPr>
              <w:t>额定转速（RPM）</w:t>
            </w:r>
          </w:p>
        </w:tc>
        <w:tc>
          <w:tcPr>
            <w:tcW w:w="950" w:type="dxa"/>
            <w:noWrap/>
            <w:vAlign w:val="top"/>
          </w:tcPr>
          <w:p>
            <w:pPr>
              <w:rPr>
                <w:rFonts w:ascii="宋体" w:hAnsi="宋体"/>
              </w:rPr>
            </w:pPr>
            <w:r>
              <w:rPr>
                <w:rFonts w:hint="eastAsia" w:ascii="宋体" w:hAnsi="宋体"/>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29" w:type="dxa"/>
            <w:gridSpan w:val="8"/>
            <w:noWrap/>
            <w:vAlign w:val="top"/>
          </w:tcPr>
          <w:p>
            <w:pPr>
              <w:rPr>
                <w:rFonts w:ascii="宋体" w:hAnsi="宋体"/>
                <w:b/>
                <w:u w:val="single"/>
              </w:rPr>
            </w:pPr>
            <w:r>
              <w:rPr>
                <w:rFonts w:hint="eastAsia" w:ascii="宋体" w:hAnsi="宋体"/>
                <w:b/>
                <w:sz w:val="30"/>
              </w:rPr>
              <w:t>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电压调整范围</w:t>
            </w:r>
          </w:p>
        </w:tc>
        <w:tc>
          <w:tcPr>
            <w:tcW w:w="2355" w:type="dxa"/>
            <w:gridSpan w:val="2"/>
            <w:noWrap/>
            <w:vAlign w:val="top"/>
          </w:tcPr>
          <w:p>
            <w:pPr>
              <w:rPr>
                <w:rFonts w:ascii="宋体" w:hAnsi="宋体"/>
              </w:rPr>
            </w:pPr>
            <w:r>
              <w:rPr>
                <w:rFonts w:hint="eastAsia" w:ascii="宋体" w:hAnsi="宋体"/>
              </w:rPr>
              <w:t>≥±5%</w:t>
            </w:r>
          </w:p>
        </w:tc>
        <w:tc>
          <w:tcPr>
            <w:tcW w:w="2615" w:type="dxa"/>
            <w:gridSpan w:val="3"/>
            <w:noWrap/>
            <w:vAlign w:val="top"/>
          </w:tcPr>
          <w:p>
            <w:pPr>
              <w:rPr>
                <w:rFonts w:ascii="宋体" w:hAnsi="宋体"/>
              </w:rPr>
            </w:pPr>
            <w:r>
              <w:rPr>
                <w:rFonts w:hint="eastAsia" w:ascii="宋体" w:hAnsi="宋体"/>
              </w:rPr>
              <w:t>励磁方式</w:t>
            </w:r>
          </w:p>
        </w:tc>
        <w:tc>
          <w:tcPr>
            <w:tcW w:w="1393" w:type="dxa"/>
            <w:gridSpan w:val="2"/>
            <w:noWrap/>
            <w:vAlign w:val="top"/>
          </w:tcPr>
          <w:p>
            <w:pPr>
              <w:rPr>
                <w:rFonts w:ascii="宋体" w:hAnsi="宋体"/>
              </w:rPr>
            </w:pPr>
            <w:r>
              <w:rPr>
                <w:rFonts w:hint="eastAsia" w:ascii="宋体" w:hAnsi="宋体"/>
              </w:rPr>
              <w:t>无刷自励式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稳态电压调整率</w:t>
            </w:r>
          </w:p>
        </w:tc>
        <w:tc>
          <w:tcPr>
            <w:tcW w:w="2355" w:type="dxa"/>
            <w:gridSpan w:val="2"/>
            <w:noWrap/>
            <w:vAlign w:val="top"/>
          </w:tcPr>
          <w:p>
            <w:pPr>
              <w:rPr>
                <w:rFonts w:ascii="宋体" w:hAnsi="宋体"/>
              </w:rPr>
            </w:pPr>
            <w:r>
              <w:rPr>
                <w:rFonts w:hint="eastAsia" w:ascii="宋体" w:hAnsi="宋体"/>
              </w:rPr>
              <w:t>±0.5%</w:t>
            </w:r>
          </w:p>
        </w:tc>
        <w:tc>
          <w:tcPr>
            <w:tcW w:w="2615" w:type="dxa"/>
            <w:gridSpan w:val="3"/>
            <w:noWrap/>
            <w:vAlign w:val="top"/>
          </w:tcPr>
          <w:p>
            <w:pPr>
              <w:rPr>
                <w:rFonts w:ascii="宋体" w:hAnsi="宋体"/>
              </w:rPr>
            </w:pPr>
            <w:r>
              <w:rPr>
                <w:rFonts w:hint="eastAsia" w:ascii="宋体" w:hAnsi="宋体"/>
              </w:rPr>
              <w:t>电压控制方式</w:t>
            </w:r>
          </w:p>
        </w:tc>
        <w:tc>
          <w:tcPr>
            <w:tcW w:w="1393" w:type="dxa"/>
            <w:gridSpan w:val="2"/>
            <w:noWrap/>
            <w:vAlign w:val="top"/>
          </w:tcPr>
          <w:p>
            <w:pPr>
              <w:rPr>
                <w:rFonts w:ascii="宋体" w:hAnsi="宋体"/>
              </w:rPr>
            </w:pPr>
            <w:r>
              <w:rPr>
                <w:rFonts w:hint="eastAsia" w:ascii="宋体" w:hAnsi="宋体"/>
              </w:rPr>
              <w:t>AVR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稳态频率调整率</w:t>
            </w:r>
          </w:p>
        </w:tc>
        <w:tc>
          <w:tcPr>
            <w:tcW w:w="2355" w:type="dxa"/>
            <w:gridSpan w:val="2"/>
            <w:noWrap/>
            <w:vAlign w:val="top"/>
          </w:tcPr>
          <w:p>
            <w:pPr>
              <w:rPr>
                <w:rFonts w:ascii="宋体" w:hAnsi="宋体"/>
              </w:rPr>
            </w:pPr>
            <w:r>
              <w:rPr>
                <w:rFonts w:hint="eastAsia" w:ascii="宋体" w:hAnsi="宋体"/>
              </w:rPr>
              <w:t>≤1%</w:t>
            </w:r>
          </w:p>
        </w:tc>
        <w:tc>
          <w:tcPr>
            <w:tcW w:w="2615" w:type="dxa"/>
            <w:gridSpan w:val="3"/>
            <w:noWrap/>
            <w:vAlign w:val="top"/>
          </w:tcPr>
          <w:p>
            <w:pPr>
              <w:rPr>
                <w:rFonts w:ascii="宋体" w:hAnsi="宋体"/>
              </w:rPr>
            </w:pPr>
            <w:r>
              <w:rPr>
                <w:rFonts w:hint="eastAsia" w:ascii="宋体" w:hAnsi="宋体"/>
              </w:rPr>
              <w:t>瞬态电压调整率</w:t>
            </w:r>
          </w:p>
        </w:tc>
        <w:tc>
          <w:tcPr>
            <w:tcW w:w="1393" w:type="dxa"/>
            <w:gridSpan w:val="2"/>
            <w:noWrap/>
            <w:vAlign w:val="top"/>
          </w:tcPr>
          <w:p>
            <w:pPr>
              <w:rPr>
                <w:rFonts w:ascii="宋体" w:hAnsi="宋体"/>
              </w:rPr>
            </w:pPr>
            <w:r>
              <w:rPr>
                <w:rFonts w:hint="eastAsia" w:ascii="宋体" w:hAnsi="宋体"/>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温升</w:t>
            </w:r>
          </w:p>
        </w:tc>
        <w:tc>
          <w:tcPr>
            <w:tcW w:w="2355" w:type="dxa"/>
            <w:gridSpan w:val="2"/>
            <w:noWrap/>
            <w:vAlign w:val="top"/>
          </w:tcPr>
          <w:p>
            <w:pPr>
              <w:rPr>
                <w:rFonts w:ascii="宋体" w:hAnsi="宋体"/>
              </w:rPr>
            </w:pPr>
            <w:r>
              <w:rPr>
                <w:rFonts w:ascii="宋体" w:hAnsi="宋体"/>
              </w:rPr>
              <w:t>H</w:t>
            </w:r>
          </w:p>
        </w:tc>
        <w:tc>
          <w:tcPr>
            <w:tcW w:w="2615" w:type="dxa"/>
            <w:gridSpan w:val="3"/>
            <w:noWrap/>
            <w:vAlign w:val="top"/>
          </w:tcPr>
          <w:p>
            <w:pPr>
              <w:rPr>
                <w:rFonts w:ascii="宋体" w:hAnsi="宋体"/>
              </w:rPr>
            </w:pPr>
            <w:r>
              <w:rPr>
                <w:rFonts w:hint="eastAsia" w:ascii="宋体" w:hAnsi="宋体"/>
              </w:rPr>
              <w:t>频率稳定时间</w:t>
            </w:r>
          </w:p>
        </w:tc>
        <w:tc>
          <w:tcPr>
            <w:tcW w:w="1393" w:type="dxa"/>
            <w:gridSpan w:val="2"/>
            <w:noWrap/>
            <w:vAlign w:val="top"/>
          </w:tcPr>
          <w:p>
            <w:pPr>
              <w:rPr>
                <w:rFonts w:ascii="宋体" w:hAnsi="宋体"/>
              </w:rPr>
            </w:pPr>
            <w:r>
              <w:rPr>
                <w:rFonts w:hint="eastAsia" w:ascii="宋体" w:hAnsi="宋体"/>
              </w:rPr>
              <w:t>≤3S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绝缘等级</w:t>
            </w:r>
          </w:p>
        </w:tc>
        <w:tc>
          <w:tcPr>
            <w:tcW w:w="2355" w:type="dxa"/>
            <w:gridSpan w:val="2"/>
            <w:noWrap/>
            <w:vAlign w:val="top"/>
          </w:tcPr>
          <w:p>
            <w:pPr>
              <w:rPr>
                <w:rFonts w:ascii="宋体" w:hAnsi="宋体"/>
              </w:rPr>
            </w:pPr>
            <w:r>
              <w:rPr>
                <w:rFonts w:hint="eastAsia" w:ascii="宋体" w:hAnsi="宋体"/>
              </w:rPr>
              <w:t>H</w:t>
            </w:r>
          </w:p>
        </w:tc>
        <w:tc>
          <w:tcPr>
            <w:tcW w:w="2615" w:type="dxa"/>
            <w:gridSpan w:val="3"/>
            <w:noWrap/>
            <w:vAlign w:val="top"/>
          </w:tcPr>
          <w:p>
            <w:pPr>
              <w:rPr>
                <w:rFonts w:ascii="宋体" w:hAnsi="宋体"/>
              </w:rPr>
            </w:pPr>
            <w:r>
              <w:rPr>
                <w:rFonts w:hint="eastAsia" w:ascii="宋体" w:hAnsi="宋体"/>
              </w:rPr>
              <w:t>过电流</w:t>
            </w:r>
          </w:p>
        </w:tc>
        <w:tc>
          <w:tcPr>
            <w:tcW w:w="1393" w:type="dxa"/>
            <w:gridSpan w:val="2"/>
            <w:noWrap/>
            <w:vAlign w:val="top"/>
          </w:tcPr>
          <w:p>
            <w:pPr>
              <w:rPr>
                <w:rFonts w:ascii="宋体" w:hAnsi="宋体"/>
              </w:rPr>
            </w:pPr>
            <w:r>
              <w:rPr>
                <w:rFonts w:hint="eastAsia" w:ascii="宋体" w:hAnsi="宋体"/>
              </w:rPr>
              <w:t>3～5le≥5S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防护等级</w:t>
            </w:r>
          </w:p>
        </w:tc>
        <w:tc>
          <w:tcPr>
            <w:tcW w:w="2355" w:type="dxa"/>
            <w:gridSpan w:val="2"/>
            <w:noWrap/>
            <w:vAlign w:val="top"/>
          </w:tcPr>
          <w:p>
            <w:pPr>
              <w:rPr>
                <w:rFonts w:ascii="宋体" w:hAnsi="宋体"/>
              </w:rPr>
            </w:pPr>
            <w:r>
              <w:rPr>
                <w:rFonts w:hint="eastAsia" w:ascii="宋体" w:hAnsi="宋体"/>
              </w:rPr>
              <w:t>IP23</w:t>
            </w:r>
          </w:p>
        </w:tc>
        <w:tc>
          <w:tcPr>
            <w:tcW w:w="2615" w:type="dxa"/>
            <w:gridSpan w:val="3"/>
            <w:noWrap/>
            <w:vAlign w:val="top"/>
          </w:tcPr>
          <w:p>
            <w:pPr>
              <w:rPr>
                <w:rFonts w:ascii="宋体" w:hAnsi="宋体"/>
              </w:rPr>
            </w:pPr>
            <w:r>
              <w:rPr>
                <w:rFonts w:hint="eastAsia" w:ascii="宋体" w:hAnsi="宋体"/>
              </w:rPr>
              <w:t>过载能力</w:t>
            </w:r>
          </w:p>
        </w:tc>
        <w:tc>
          <w:tcPr>
            <w:tcW w:w="1393" w:type="dxa"/>
            <w:gridSpan w:val="2"/>
            <w:noWrap/>
            <w:vAlign w:val="top"/>
          </w:tcPr>
          <w:p>
            <w:pPr>
              <w:rPr>
                <w:rFonts w:ascii="宋体" w:hAnsi="宋体"/>
              </w:rPr>
            </w:pPr>
            <w:r>
              <w:rPr>
                <w:rFonts w:hint="eastAsia" w:ascii="宋体" w:hAnsi="宋体"/>
              </w:rPr>
              <w:t>1.5倍2分钟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效率</w:t>
            </w:r>
          </w:p>
        </w:tc>
        <w:tc>
          <w:tcPr>
            <w:tcW w:w="2355" w:type="dxa"/>
            <w:gridSpan w:val="2"/>
            <w:noWrap/>
            <w:vAlign w:val="top"/>
          </w:tcPr>
          <w:p>
            <w:pPr>
              <w:rPr>
                <w:rFonts w:ascii="宋体" w:hAnsi="宋体"/>
              </w:rPr>
            </w:pPr>
            <w:r>
              <w:rPr>
                <w:rFonts w:hint="eastAsia" w:ascii="宋体" w:hAnsi="宋体"/>
              </w:rPr>
              <w:t>92.0%</w:t>
            </w:r>
          </w:p>
        </w:tc>
        <w:tc>
          <w:tcPr>
            <w:tcW w:w="2615" w:type="dxa"/>
            <w:gridSpan w:val="3"/>
            <w:noWrap/>
            <w:vAlign w:val="top"/>
          </w:tcPr>
          <w:p>
            <w:pPr>
              <w:rPr>
                <w:rFonts w:ascii="宋体" w:hAnsi="宋体"/>
              </w:rPr>
            </w:pPr>
            <w:r>
              <w:rPr>
                <w:rFonts w:hint="eastAsia" w:ascii="宋体" w:hAnsi="宋体"/>
              </w:rPr>
              <w:t>短路能力</w:t>
            </w:r>
          </w:p>
        </w:tc>
        <w:tc>
          <w:tcPr>
            <w:tcW w:w="1393" w:type="dxa"/>
            <w:gridSpan w:val="2"/>
            <w:noWrap/>
            <w:vAlign w:val="top"/>
          </w:tcPr>
          <w:p>
            <w:pPr>
              <w:rPr>
                <w:rFonts w:ascii="宋体" w:hAnsi="宋体"/>
              </w:rPr>
            </w:pPr>
            <w:r>
              <w:rPr>
                <w:rFonts w:hint="eastAsia" w:ascii="宋体" w:hAnsi="宋体"/>
              </w:rPr>
              <w:t>3倍2秒钟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66" w:type="dxa"/>
            <w:noWrap/>
            <w:vAlign w:val="top"/>
          </w:tcPr>
          <w:p>
            <w:pPr>
              <w:rPr>
                <w:rFonts w:ascii="宋体" w:hAnsi="宋体"/>
              </w:rPr>
            </w:pPr>
            <w:r>
              <w:rPr>
                <w:rFonts w:hint="eastAsia" w:ascii="宋体" w:hAnsi="宋体"/>
              </w:rPr>
              <w:t>电话干扰系数</w:t>
            </w:r>
          </w:p>
        </w:tc>
        <w:tc>
          <w:tcPr>
            <w:tcW w:w="2355" w:type="dxa"/>
            <w:gridSpan w:val="2"/>
            <w:noWrap/>
            <w:vAlign w:val="top"/>
          </w:tcPr>
          <w:p>
            <w:pPr>
              <w:rPr>
                <w:rFonts w:ascii="宋体" w:hAnsi="宋体"/>
              </w:rPr>
            </w:pPr>
            <w:r>
              <w:rPr>
                <w:rFonts w:hint="eastAsia" w:ascii="宋体" w:hAnsi="宋体"/>
              </w:rPr>
              <w:t>THF&lt;2%,  TIF&lt;50</w:t>
            </w:r>
          </w:p>
        </w:tc>
        <w:tc>
          <w:tcPr>
            <w:tcW w:w="2615" w:type="dxa"/>
            <w:gridSpan w:val="3"/>
            <w:noWrap/>
            <w:vAlign w:val="top"/>
          </w:tcPr>
          <w:p>
            <w:pPr>
              <w:rPr>
                <w:rFonts w:ascii="宋体" w:hAnsi="宋体"/>
              </w:rPr>
            </w:pPr>
            <w:r>
              <w:rPr>
                <w:rFonts w:hint="eastAsia" w:ascii="宋体" w:hAnsi="宋体"/>
              </w:rPr>
              <w:t>冷却方式</w:t>
            </w:r>
          </w:p>
        </w:tc>
        <w:tc>
          <w:tcPr>
            <w:tcW w:w="1393" w:type="dxa"/>
            <w:gridSpan w:val="2"/>
            <w:noWrap/>
            <w:vAlign w:val="top"/>
          </w:tcPr>
          <w:p>
            <w:pPr>
              <w:rPr>
                <w:rFonts w:ascii="宋体" w:hAnsi="宋体"/>
              </w:rPr>
            </w:pPr>
            <w:r>
              <w:rPr>
                <w:rFonts w:hint="eastAsia" w:ascii="宋体" w:hAnsi="宋体"/>
              </w:rPr>
              <w:t>自冷式</w:t>
            </w:r>
          </w:p>
        </w:tc>
      </w:tr>
    </w:tbl>
    <w:p>
      <w:pPr>
        <w:pStyle w:val="6"/>
      </w:pPr>
      <w:bookmarkStart w:id="76" w:name="_Toc28781"/>
      <w:bookmarkStart w:id="77" w:name="_Toc30549"/>
      <w:r>
        <w:rPr>
          <w:rFonts w:hint="eastAsia"/>
        </w:rPr>
        <w:t>50KW柴油发电机组技术参数</w:t>
      </w:r>
      <w:bookmarkEnd w:id="76"/>
      <w:bookmarkEnd w:id="77"/>
      <w:r>
        <w:rPr>
          <w:rFonts w:hint="eastAsia"/>
          <w:lang w:val="en-US" w:eastAsia="zh-CN"/>
        </w:rPr>
        <w:t>要求</w:t>
      </w:r>
    </w:p>
    <w:tbl>
      <w:tblPr>
        <w:tblStyle w:val="75"/>
        <w:tblW w:w="8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1"/>
        <w:gridCol w:w="12"/>
        <w:gridCol w:w="1799"/>
        <w:gridCol w:w="21"/>
        <w:gridCol w:w="38"/>
        <w:gridCol w:w="2524"/>
        <w:gridCol w:w="7"/>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8681" w:type="dxa"/>
            <w:gridSpan w:val="8"/>
            <w:noWrap/>
            <w:vAlign w:val="top"/>
          </w:tcPr>
          <w:p>
            <w:pPr>
              <w:rPr>
                <w:rFonts w:ascii="宋体" w:hAnsi="宋体"/>
                <w:sz w:val="28"/>
                <w:szCs w:val="28"/>
              </w:rPr>
            </w:pPr>
            <w:r>
              <w:rPr>
                <w:rFonts w:hint="eastAsia" w:ascii="宋体" w:hAnsi="宋体"/>
                <w:b/>
                <w:sz w:val="28"/>
                <w:szCs w:val="28"/>
              </w:rPr>
              <w:t>柴油发电机组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常用功率（kW）</w:t>
            </w:r>
          </w:p>
        </w:tc>
        <w:tc>
          <w:tcPr>
            <w:tcW w:w="4208" w:type="dxa"/>
            <w:gridSpan w:val="4"/>
            <w:noWrap/>
            <w:vAlign w:val="top"/>
          </w:tcPr>
          <w:p>
            <w:pPr>
              <w:rPr>
                <w:rFonts w:ascii="宋体" w:hAnsi="宋体"/>
              </w:rPr>
            </w:pPr>
            <w:r>
              <w:rPr>
                <w:rFonts w:hint="eastAsia" w:ascii="宋体" w:hAnsi="宋体"/>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备用功率（KW）</w:t>
            </w:r>
          </w:p>
        </w:tc>
        <w:tc>
          <w:tcPr>
            <w:tcW w:w="4208" w:type="dxa"/>
            <w:gridSpan w:val="4"/>
            <w:noWrap/>
            <w:vAlign w:val="top"/>
          </w:tcPr>
          <w:p>
            <w:pPr>
              <w:rPr>
                <w:rFonts w:ascii="宋体" w:hAnsi="宋体"/>
              </w:rPr>
            </w:pPr>
            <w:r>
              <w:rPr>
                <w:rFonts w:hint="eastAsia" w:ascii="宋体" w:hAnsi="宋体"/>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输出容量（kVA）</w:t>
            </w:r>
          </w:p>
        </w:tc>
        <w:tc>
          <w:tcPr>
            <w:tcW w:w="4208" w:type="dxa"/>
            <w:gridSpan w:val="4"/>
            <w:noWrap/>
            <w:vAlign w:val="top"/>
          </w:tcPr>
          <w:p>
            <w:pPr>
              <w:rPr>
                <w:rFonts w:ascii="宋体" w:hAnsi="宋体"/>
              </w:rPr>
            </w:pPr>
            <w:r>
              <w:rPr>
                <w:rFonts w:hint="eastAsia" w:ascii="宋体" w:hAnsi="宋体"/>
              </w:rPr>
              <w:t>62.5/68.75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功率因数</w:t>
            </w:r>
          </w:p>
        </w:tc>
        <w:tc>
          <w:tcPr>
            <w:tcW w:w="4208" w:type="dxa"/>
            <w:gridSpan w:val="4"/>
            <w:noWrap/>
            <w:vAlign w:val="top"/>
          </w:tcPr>
          <w:p>
            <w:pPr>
              <w:rPr>
                <w:rFonts w:ascii="宋体" w:hAnsi="宋体"/>
              </w:rPr>
            </w:pPr>
            <w:r>
              <w:rPr>
                <w:rFonts w:ascii="宋体" w:hAnsi="宋体"/>
              </w:rPr>
              <w:t>0.8</w:t>
            </w:r>
            <w:r>
              <w:rPr>
                <w:rFonts w:hint="eastAsia" w:ascii="宋体" w:hAnsi="宋体"/>
              </w:rPr>
              <w:t>（滞后）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频率(Hz)</w:t>
            </w:r>
          </w:p>
        </w:tc>
        <w:tc>
          <w:tcPr>
            <w:tcW w:w="4208" w:type="dxa"/>
            <w:gridSpan w:val="4"/>
            <w:noWrap/>
            <w:vAlign w:val="top"/>
          </w:tcPr>
          <w:p>
            <w:pPr>
              <w:rPr>
                <w:rFonts w:ascii="宋体" w:hAnsi="宋体"/>
              </w:rPr>
            </w:pPr>
            <w:r>
              <w:rPr>
                <w:rFonts w:hint="eastAsia" w:ascii="宋体" w:hAnsi="宋体"/>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输出电压（V）</w:t>
            </w:r>
          </w:p>
        </w:tc>
        <w:tc>
          <w:tcPr>
            <w:tcW w:w="4208" w:type="dxa"/>
            <w:gridSpan w:val="4"/>
            <w:noWrap/>
            <w:vAlign w:val="top"/>
          </w:tcPr>
          <w:p>
            <w:pPr>
              <w:rPr>
                <w:rFonts w:ascii="宋体" w:hAnsi="宋体"/>
              </w:rPr>
            </w:pPr>
            <w:r>
              <w:rPr>
                <w:rFonts w:hint="eastAsia" w:ascii="宋体" w:hAnsi="宋体"/>
              </w:rPr>
              <w:t>400 / 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473" w:type="dxa"/>
            <w:gridSpan w:val="4"/>
            <w:noWrap/>
            <w:vAlign w:val="top"/>
          </w:tcPr>
          <w:p>
            <w:pPr>
              <w:rPr>
                <w:rFonts w:ascii="宋体" w:hAnsi="宋体"/>
              </w:rPr>
            </w:pPr>
            <w:r>
              <w:rPr>
                <w:rFonts w:hint="eastAsia" w:ascii="宋体" w:hAnsi="宋体"/>
              </w:rPr>
              <w:t>输出电流（A）</w:t>
            </w:r>
          </w:p>
        </w:tc>
        <w:tc>
          <w:tcPr>
            <w:tcW w:w="4208" w:type="dxa"/>
            <w:gridSpan w:val="4"/>
            <w:noWrap/>
            <w:vAlign w:val="top"/>
          </w:tcPr>
          <w:p>
            <w:pPr>
              <w:rPr>
                <w:rFonts w:ascii="宋体" w:hAnsi="宋体"/>
              </w:rPr>
            </w:pPr>
            <w:r>
              <w:rPr>
                <w:rFonts w:hint="eastAsia" w:ascii="宋体" w:hAnsi="宋体"/>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681" w:type="dxa"/>
            <w:gridSpan w:val="8"/>
            <w:noWrap/>
            <w:vAlign w:val="top"/>
          </w:tcPr>
          <w:p>
            <w:pPr>
              <w:rPr>
                <w:rFonts w:ascii="宋体" w:hAnsi="宋体"/>
                <w:b/>
                <w:sz w:val="28"/>
                <w:szCs w:val="28"/>
                <w:u w:val="single"/>
              </w:rPr>
            </w:pPr>
            <w:r>
              <w:rPr>
                <w:rFonts w:hint="eastAsia" w:ascii="宋体" w:hAnsi="宋体"/>
                <w:b/>
                <w:sz w:val="24"/>
                <w:szCs w:val="24"/>
              </w:rPr>
              <w:t>柴油机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气缸数</w:t>
            </w:r>
          </w:p>
        </w:tc>
        <w:tc>
          <w:tcPr>
            <w:tcW w:w="1811" w:type="dxa"/>
            <w:gridSpan w:val="2"/>
            <w:noWrap/>
            <w:vAlign w:val="center"/>
          </w:tcPr>
          <w:p>
            <w:pPr>
              <w:rPr>
                <w:rFonts w:ascii="宋体" w:hAnsi="宋体"/>
              </w:rPr>
            </w:pPr>
            <w:r>
              <w:rPr>
                <w:rFonts w:hint="eastAsia" w:ascii="宋体" w:hAnsi="宋体"/>
              </w:rPr>
              <w:t>4</w:t>
            </w:r>
          </w:p>
        </w:tc>
        <w:tc>
          <w:tcPr>
            <w:tcW w:w="2590" w:type="dxa"/>
            <w:gridSpan w:val="4"/>
            <w:noWrap/>
            <w:vAlign w:val="top"/>
          </w:tcPr>
          <w:p>
            <w:pPr>
              <w:rPr>
                <w:rFonts w:ascii="宋体" w:hAnsi="宋体"/>
              </w:rPr>
            </w:pPr>
            <w:r>
              <w:rPr>
                <w:rFonts w:hint="eastAsia" w:ascii="宋体" w:hAnsi="宋体"/>
              </w:rPr>
              <w:t>输出功率（kW）</w:t>
            </w:r>
          </w:p>
        </w:tc>
        <w:tc>
          <w:tcPr>
            <w:tcW w:w="1639" w:type="dxa"/>
            <w:noWrap/>
            <w:vAlign w:val="top"/>
          </w:tcPr>
          <w:p>
            <w:pPr>
              <w:rPr>
                <w:rFonts w:ascii="宋体" w:hAnsi="宋体"/>
              </w:rPr>
            </w:pPr>
            <w:r>
              <w:rPr>
                <w:rFonts w:hint="eastAsia" w:ascii="宋体" w:hAnsi="宋体"/>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气缸排列方式</w:t>
            </w:r>
          </w:p>
        </w:tc>
        <w:tc>
          <w:tcPr>
            <w:tcW w:w="1811" w:type="dxa"/>
            <w:gridSpan w:val="2"/>
            <w:noWrap/>
            <w:vAlign w:val="center"/>
          </w:tcPr>
          <w:p>
            <w:pPr>
              <w:rPr>
                <w:rFonts w:ascii="宋体" w:hAnsi="宋体"/>
              </w:rPr>
            </w:pPr>
            <w:r>
              <w:rPr>
                <w:rFonts w:hint="eastAsia" w:ascii="宋体" w:hAnsi="宋体"/>
              </w:rPr>
              <w:t>L</w:t>
            </w:r>
          </w:p>
        </w:tc>
        <w:tc>
          <w:tcPr>
            <w:tcW w:w="2590" w:type="dxa"/>
            <w:gridSpan w:val="4"/>
            <w:noWrap/>
            <w:vAlign w:val="top"/>
          </w:tcPr>
          <w:p>
            <w:pPr>
              <w:rPr>
                <w:rFonts w:ascii="宋体" w:hAnsi="宋体"/>
                <w:szCs w:val="22"/>
              </w:rPr>
            </w:pPr>
            <w:r>
              <w:rPr>
                <w:rFonts w:hint="eastAsia" w:ascii="宋体" w:hAnsi="宋体"/>
              </w:rPr>
              <w:t>冷却水流量（L/sec）</w:t>
            </w:r>
          </w:p>
        </w:tc>
        <w:tc>
          <w:tcPr>
            <w:tcW w:w="1639" w:type="dxa"/>
            <w:noWrap/>
            <w:vAlign w:val="top"/>
          </w:tcPr>
          <w:p>
            <w:pPr>
              <w:rPr>
                <w:rFonts w:ascii="宋体" w:hAnsi="宋体"/>
                <w:szCs w:val="22"/>
              </w:rPr>
            </w:pPr>
            <w:r>
              <w:rPr>
                <w:rFonts w:hint="eastAsia" w:ascii="宋体" w:hAnsi="宋体"/>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缸径/行程（mm）</w:t>
            </w:r>
          </w:p>
        </w:tc>
        <w:tc>
          <w:tcPr>
            <w:tcW w:w="1811" w:type="dxa"/>
            <w:gridSpan w:val="2"/>
            <w:noWrap/>
            <w:vAlign w:val="center"/>
          </w:tcPr>
          <w:p>
            <w:pPr>
              <w:rPr>
                <w:rFonts w:ascii="宋体" w:hAnsi="宋体"/>
              </w:rPr>
            </w:pPr>
            <w:r>
              <w:rPr>
                <w:rFonts w:hint="eastAsia" w:ascii="宋体" w:hAnsi="宋体"/>
              </w:rPr>
              <w:t>102/120</w:t>
            </w:r>
          </w:p>
        </w:tc>
        <w:tc>
          <w:tcPr>
            <w:tcW w:w="2590" w:type="dxa"/>
            <w:gridSpan w:val="4"/>
            <w:noWrap/>
            <w:vAlign w:val="top"/>
          </w:tcPr>
          <w:p>
            <w:pPr>
              <w:rPr>
                <w:rFonts w:ascii="宋体" w:hAnsi="宋体"/>
              </w:rPr>
            </w:pPr>
            <w:r>
              <w:rPr>
                <w:rFonts w:hint="eastAsia" w:ascii="宋体" w:hAnsi="宋体"/>
              </w:rPr>
              <w:t>燃油消耗率（g/kw.h）</w:t>
            </w:r>
          </w:p>
        </w:tc>
        <w:tc>
          <w:tcPr>
            <w:tcW w:w="1639" w:type="dxa"/>
            <w:noWrap/>
            <w:vAlign w:val="top"/>
          </w:tcPr>
          <w:p>
            <w:pPr>
              <w:rPr>
                <w:rFonts w:ascii="宋体" w:hAnsi="宋体"/>
              </w:rPr>
            </w:pPr>
            <w:r>
              <w:rPr>
                <w:rFonts w:hint="eastAsia" w:ascii="宋体" w:hAnsi="宋体"/>
                <w:u w:val="dotted"/>
              </w:rPr>
              <w:t>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气缸总容积（L）</w:t>
            </w:r>
          </w:p>
        </w:tc>
        <w:tc>
          <w:tcPr>
            <w:tcW w:w="1811" w:type="dxa"/>
            <w:gridSpan w:val="2"/>
            <w:noWrap/>
            <w:vAlign w:val="center"/>
          </w:tcPr>
          <w:p>
            <w:pPr>
              <w:rPr>
                <w:rFonts w:ascii="宋体" w:hAnsi="宋体"/>
              </w:rPr>
            </w:pPr>
            <w:r>
              <w:rPr>
                <w:rFonts w:hint="eastAsia" w:ascii="宋体" w:hAnsi="宋体"/>
              </w:rPr>
              <w:t>3.9</w:t>
            </w:r>
          </w:p>
        </w:tc>
        <w:tc>
          <w:tcPr>
            <w:tcW w:w="2590" w:type="dxa"/>
            <w:gridSpan w:val="4"/>
            <w:noWrap/>
            <w:vAlign w:val="top"/>
          </w:tcPr>
          <w:p>
            <w:pPr>
              <w:rPr>
                <w:rFonts w:ascii="宋体" w:hAnsi="宋体"/>
              </w:rPr>
            </w:pPr>
            <w:r>
              <w:rPr>
                <w:rFonts w:hint="eastAsia" w:ascii="宋体" w:hAnsi="宋体"/>
              </w:rPr>
              <w:t>润滑油规格、等级</w:t>
            </w:r>
          </w:p>
        </w:tc>
        <w:tc>
          <w:tcPr>
            <w:tcW w:w="1639" w:type="dxa"/>
            <w:noWrap/>
            <w:vAlign w:val="top"/>
          </w:tcPr>
          <w:p>
            <w:pPr>
              <w:rPr>
                <w:rFonts w:ascii="宋体" w:hAnsi="宋体"/>
              </w:rPr>
            </w:pPr>
            <w:r>
              <w:rPr>
                <w:rFonts w:ascii="宋体" w:hAnsi="宋体"/>
              </w:rPr>
              <w:t>API-C</w:t>
            </w:r>
            <w:r>
              <w:rPr>
                <w:rFonts w:hint="eastAsia" w:ascii="宋体" w:hAnsi="宋体"/>
              </w:rPr>
              <w:t>F级以上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压缩比</w:t>
            </w:r>
          </w:p>
        </w:tc>
        <w:tc>
          <w:tcPr>
            <w:tcW w:w="1811" w:type="dxa"/>
            <w:gridSpan w:val="2"/>
            <w:noWrap/>
            <w:vAlign w:val="center"/>
          </w:tcPr>
          <w:p>
            <w:pPr>
              <w:rPr>
                <w:rFonts w:ascii="宋体" w:hAnsi="宋体"/>
              </w:rPr>
            </w:pPr>
            <w:r>
              <w:rPr>
                <w:rFonts w:hint="eastAsia" w:ascii="宋体" w:hAnsi="宋体"/>
              </w:rPr>
              <w:t>16.5</w:t>
            </w:r>
            <w:r>
              <w:rPr>
                <w:rFonts w:hint="eastAsia" w:ascii="宋体" w:hAnsi="宋体"/>
                <w:b/>
              </w:rPr>
              <w:t>:</w:t>
            </w:r>
            <w:r>
              <w:rPr>
                <w:rFonts w:hint="eastAsia" w:ascii="宋体" w:hAnsi="宋体"/>
              </w:rPr>
              <w:t>1</w:t>
            </w:r>
          </w:p>
        </w:tc>
        <w:tc>
          <w:tcPr>
            <w:tcW w:w="2590" w:type="dxa"/>
            <w:gridSpan w:val="4"/>
            <w:noWrap/>
            <w:vAlign w:val="top"/>
          </w:tcPr>
          <w:p>
            <w:pPr>
              <w:rPr>
                <w:rFonts w:ascii="宋体" w:hAnsi="宋体"/>
              </w:rPr>
            </w:pPr>
            <w:r>
              <w:rPr>
                <w:rFonts w:hint="eastAsia" w:ascii="宋体" w:hAnsi="宋体"/>
              </w:rPr>
              <w:t>润滑油总容量（L）</w:t>
            </w:r>
          </w:p>
        </w:tc>
        <w:tc>
          <w:tcPr>
            <w:tcW w:w="1639" w:type="dxa"/>
            <w:noWrap/>
            <w:vAlign w:val="top"/>
          </w:tcPr>
          <w:p>
            <w:pPr>
              <w:rPr>
                <w:rFonts w:ascii="宋体" w:hAnsi="宋体"/>
              </w:rPr>
            </w:pPr>
            <w:r>
              <w:rPr>
                <w:rFonts w:hint="eastAsia" w:ascii="宋体" w:hAnsi="宋体"/>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进气方式</w:t>
            </w:r>
          </w:p>
        </w:tc>
        <w:tc>
          <w:tcPr>
            <w:tcW w:w="1811" w:type="dxa"/>
            <w:gridSpan w:val="2"/>
            <w:noWrap/>
            <w:vAlign w:val="center"/>
          </w:tcPr>
          <w:p>
            <w:pPr>
              <w:rPr>
                <w:rFonts w:ascii="宋体" w:hAnsi="宋体"/>
              </w:rPr>
            </w:pPr>
            <w:r>
              <w:rPr>
                <w:rFonts w:hint="eastAsia" w:ascii="宋体" w:hAnsi="宋体"/>
              </w:rPr>
              <w:t>涡轮增压</w:t>
            </w:r>
          </w:p>
        </w:tc>
        <w:tc>
          <w:tcPr>
            <w:tcW w:w="2590" w:type="dxa"/>
            <w:gridSpan w:val="4"/>
            <w:noWrap/>
            <w:vAlign w:val="top"/>
          </w:tcPr>
          <w:p>
            <w:pPr>
              <w:rPr>
                <w:rFonts w:ascii="宋体" w:hAnsi="宋体"/>
              </w:rPr>
            </w:pPr>
            <w:r>
              <w:rPr>
                <w:rFonts w:hint="eastAsia" w:ascii="宋体" w:hAnsi="宋体"/>
              </w:rPr>
              <w:t>最高润滑油温度（℃）</w:t>
            </w:r>
          </w:p>
        </w:tc>
        <w:tc>
          <w:tcPr>
            <w:tcW w:w="1639" w:type="dxa"/>
            <w:noWrap/>
            <w:vAlign w:val="top"/>
          </w:tcPr>
          <w:p>
            <w:pPr>
              <w:rPr>
                <w:rFonts w:ascii="宋体" w:hAnsi="宋体"/>
              </w:rPr>
            </w:pPr>
            <w:r>
              <w:rPr>
                <w:rFonts w:hint="eastAsia" w:ascii="宋体" w:hAnsi="宋体"/>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1" w:type="dxa"/>
            <w:noWrap/>
            <w:vAlign w:val="top"/>
          </w:tcPr>
          <w:p>
            <w:pPr>
              <w:rPr>
                <w:rFonts w:ascii="宋体" w:hAnsi="宋体"/>
              </w:rPr>
            </w:pPr>
            <w:r>
              <w:rPr>
                <w:rFonts w:hint="eastAsia" w:ascii="宋体" w:hAnsi="宋体"/>
              </w:rPr>
              <w:t>调速方式</w:t>
            </w:r>
          </w:p>
        </w:tc>
        <w:tc>
          <w:tcPr>
            <w:tcW w:w="1811" w:type="dxa"/>
            <w:gridSpan w:val="2"/>
            <w:noWrap/>
            <w:vAlign w:val="center"/>
          </w:tcPr>
          <w:p>
            <w:pPr>
              <w:rPr>
                <w:rFonts w:ascii="宋体" w:hAnsi="宋体"/>
              </w:rPr>
            </w:pPr>
            <w:r>
              <w:rPr>
                <w:rFonts w:hint="eastAsia" w:ascii="宋体" w:hAnsi="宋体"/>
              </w:rPr>
              <w:t>电子调速</w:t>
            </w:r>
          </w:p>
        </w:tc>
        <w:tc>
          <w:tcPr>
            <w:tcW w:w="2590" w:type="dxa"/>
            <w:gridSpan w:val="4"/>
            <w:noWrap/>
            <w:vAlign w:val="top"/>
          </w:tcPr>
          <w:p>
            <w:pPr>
              <w:rPr>
                <w:rFonts w:ascii="宋体" w:hAnsi="宋体"/>
              </w:rPr>
            </w:pPr>
            <w:r>
              <w:rPr>
                <w:rFonts w:hint="eastAsia" w:ascii="宋体" w:hAnsi="宋体"/>
              </w:rPr>
              <w:t>排烟最高温度（℃）</w:t>
            </w:r>
          </w:p>
        </w:tc>
        <w:tc>
          <w:tcPr>
            <w:tcW w:w="1639" w:type="dxa"/>
            <w:noWrap/>
            <w:vAlign w:val="top"/>
          </w:tcPr>
          <w:p>
            <w:pPr>
              <w:rPr>
                <w:rFonts w:ascii="宋体" w:hAnsi="宋体"/>
              </w:rPr>
            </w:pPr>
            <w:r>
              <w:rPr>
                <w:rFonts w:hint="eastAsia" w:ascii="宋体" w:hAnsi="宋体"/>
              </w:rPr>
              <w:t>460/485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681" w:type="dxa"/>
            <w:gridSpan w:val="8"/>
            <w:noWrap/>
            <w:vAlign w:val="top"/>
          </w:tcPr>
          <w:p>
            <w:pPr>
              <w:rPr>
                <w:rFonts w:ascii="宋体" w:hAnsi="宋体"/>
                <w:b/>
                <w:sz w:val="28"/>
                <w:szCs w:val="28"/>
                <w:u w:val="single"/>
              </w:rPr>
            </w:pPr>
            <w:r>
              <w:rPr>
                <w:rFonts w:hint="eastAsia" w:ascii="宋体" w:hAnsi="宋体"/>
                <w:b/>
                <w:sz w:val="24"/>
                <w:szCs w:val="24"/>
              </w:rPr>
              <w:t>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电压调整范围</w:t>
            </w:r>
          </w:p>
        </w:tc>
        <w:tc>
          <w:tcPr>
            <w:tcW w:w="1858" w:type="dxa"/>
            <w:gridSpan w:val="3"/>
            <w:noWrap/>
            <w:vAlign w:val="top"/>
          </w:tcPr>
          <w:p>
            <w:pPr>
              <w:rPr>
                <w:rFonts w:ascii="宋体" w:hAnsi="宋体"/>
              </w:rPr>
            </w:pPr>
            <w:r>
              <w:rPr>
                <w:rFonts w:hint="eastAsia" w:ascii="宋体" w:hAnsi="宋体"/>
              </w:rPr>
              <w:t>≥±5%</w:t>
            </w:r>
          </w:p>
        </w:tc>
        <w:tc>
          <w:tcPr>
            <w:tcW w:w="2524" w:type="dxa"/>
            <w:noWrap/>
            <w:vAlign w:val="top"/>
          </w:tcPr>
          <w:p>
            <w:pPr>
              <w:rPr>
                <w:rFonts w:ascii="宋体" w:hAnsi="宋体"/>
              </w:rPr>
            </w:pPr>
            <w:r>
              <w:rPr>
                <w:rFonts w:hint="eastAsia" w:ascii="宋体" w:hAnsi="宋体"/>
              </w:rPr>
              <w:t>励磁方式</w:t>
            </w:r>
          </w:p>
        </w:tc>
        <w:tc>
          <w:tcPr>
            <w:tcW w:w="1646" w:type="dxa"/>
            <w:gridSpan w:val="2"/>
            <w:noWrap/>
            <w:vAlign w:val="top"/>
          </w:tcPr>
          <w:p>
            <w:pPr>
              <w:rPr>
                <w:rFonts w:ascii="宋体" w:hAnsi="宋体"/>
              </w:rPr>
            </w:pPr>
            <w:r>
              <w:rPr>
                <w:rFonts w:hint="eastAsia" w:ascii="宋体" w:hAnsi="宋体"/>
              </w:rPr>
              <w:t>有刷自励式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稳态电压调整率</w:t>
            </w:r>
          </w:p>
        </w:tc>
        <w:tc>
          <w:tcPr>
            <w:tcW w:w="1858" w:type="dxa"/>
            <w:gridSpan w:val="3"/>
            <w:noWrap/>
            <w:vAlign w:val="top"/>
          </w:tcPr>
          <w:p>
            <w:pPr>
              <w:rPr>
                <w:rFonts w:ascii="宋体" w:hAnsi="宋体"/>
              </w:rPr>
            </w:pPr>
            <w:r>
              <w:rPr>
                <w:rFonts w:hint="eastAsia" w:ascii="宋体" w:hAnsi="宋体"/>
              </w:rPr>
              <w:t>±1.0%</w:t>
            </w:r>
          </w:p>
        </w:tc>
        <w:tc>
          <w:tcPr>
            <w:tcW w:w="2524" w:type="dxa"/>
            <w:noWrap/>
            <w:vAlign w:val="top"/>
          </w:tcPr>
          <w:p>
            <w:pPr>
              <w:rPr>
                <w:rFonts w:ascii="宋体" w:hAnsi="宋体"/>
              </w:rPr>
            </w:pPr>
            <w:r>
              <w:rPr>
                <w:rFonts w:hint="eastAsia" w:ascii="宋体" w:hAnsi="宋体"/>
              </w:rPr>
              <w:t>电压控制方式</w:t>
            </w:r>
          </w:p>
        </w:tc>
        <w:tc>
          <w:tcPr>
            <w:tcW w:w="1646" w:type="dxa"/>
            <w:gridSpan w:val="2"/>
            <w:noWrap/>
            <w:vAlign w:val="top"/>
          </w:tcPr>
          <w:p>
            <w:pPr>
              <w:rPr>
                <w:rFonts w:ascii="宋体" w:hAnsi="宋体"/>
              </w:rPr>
            </w:pPr>
            <w:r>
              <w:rPr>
                <w:rFonts w:hint="eastAsia" w:ascii="宋体" w:hAnsi="宋体"/>
              </w:rPr>
              <w:t>AVR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稳态频率调整率</w:t>
            </w:r>
          </w:p>
        </w:tc>
        <w:tc>
          <w:tcPr>
            <w:tcW w:w="1858" w:type="dxa"/>
            <w:gridSpan w:val="3"/>
            <w:noWrap/>
            <w:vAlign w:val="top"/>
          </w:tcPr>
          <w:p>
            <w:pPr>
              <w:rPr>
                <w:rFonts w:ascii="宋体" w:hAnsi="宋体"/>
              </w:rPr>
            </w:pPr>
            <w:r>
              <w:rPr>
                <w:rFonts w:hint="eastAsia" w:ascii="宋体" w:hAnsi="宋体"/>
              </w:rPr>
              <w:t>≤1%</w:t>
            </w:r>
          </w:p>
        </w:tc>
        <w:tc>
          <w:tcPr>
            <w:tcW w:w="2524" w:type="dxa"/>
            <w:noWrap/>
            <w:vAlign w:val="top"/>
          </w:tcPr>
          <w:p>
            <w:pPr>
              <w:rPr>
                <w:rFonts w:ascii="宋体" w:hAnsi="宋体"/>
              </w:rPr>
            </w:pPr>
            <w:r>
              <w:rPr>
                <w:rFonts w:hint="eastAsia" w:ascii="宋体" w:hAnsi="宋体"/>
              </w:rPr>
              <w:t>瞬态电压调整率</w:t>
            </w:r>
          </w:p>
        </w:tc>
        <w:tc>
          <w:tcPr>
            <w:tcW w:w="1646" w:type="dxa"/>
            <w:gridSpan w:val="2"/>
            <w:noWrap/>
            <w:vAlign w:val="top"/>
          </w:tcPr>
          <w:p>
            <w:pPr>
              <w:rPr>
                <w:rFonts w:ascii="宋体" w:hAnsi="宋体"/>
              </w:rPr>
            </w:pPr>
            <w:r>
              <w:rPr>
                <w:rFonts w:hint="eastAsia" w:ascii="宋体" w:hAnsi="宋体"/>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温升</w:t>
            </w:r>
          </w:p>
        </w:tc>
        <w:tc>
          <w:tcPr>
            <w:tcW w:w="1858" w:type="dxa"/>
            <w:gridSpan w:val="3"/>
            <w:noWrap/>
            <w:vAlign w:val="top"/>
          </w:tcPr>
          <w:p>
            <w:pPr>
              <w:rPr>
                <w:rFonts w:ascii="宋体" w:hAnsi="宋体"/>
              </w:rPr>
            </w:pPr>
            <w:r>
              <w:rPr>
                <w:rFonts w:ascii="宋体" w:hAnsi="宋体"/>
              </w:rPr>
              <w:t>H</w:t>
            </w:r>
            <w:r>
              <w:rPr>
                <w:rFonts w:hint="eastAsia" w:ascii="宋体" w:hAnsi="宋体" w:cs="幼圆+′_x0003_..."/>
                <w:color w:val="000000"/>
                <w:kern w:val="0"/>
                <w:szCs w:val="21"/>
              </w:rPr>
              <w:t>℃</w:t>
            </w:r>
          </w:p>
        </w:tc>
        <w:tc>
          <w:tcPr>
            <w:tcW w:w="2524" w:type="dxa"/>
            <w:noWrap/>
            <w:vAlign w:val="top"/>
          </w:tcPr>
          <w:p>
            <w:pPr>
              <w:rPr>
                <w:rFonts w:ascii="宋体" w:hAnsi="宋体"/>
              </w:rPr>
            </w:pPr>
            <w:r>
              <w:rPr>
                <w:rFonts w:hint="eastAsia" w:ascii="宋体" w:hAnsi="宋体"/>
              </w:rPr>
              <w:t>频率稳定时间</w:t>
            </w:r>
          </w:p>
        </w:tc>
        <w:tc>
          <w:tcPr>
            <w:tcW w:w="1646" w:type="dxa"/>
            <w:gridSpan w:val="2"/>
            <w:noWrap/>
            <w:vAlign w:val="top"/>
          </w:tcPr>
          <w:p>
            <w:pPr>
              <w:rPr>
                <w:rFonts w:ascii="宋体" w:hAnsi="宋体"/>
              </w:rPr>
            </w:pPr>
            <w:r>
              <w:rPr>
                <w:rFonts w:hint="eastAsia" w:ascii="宋体" w:hAnsi="宋体"/>
              </w:rPr>
              <w:t>≤2S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绝缘等级</w:t>
            </w:r>
          </w:p>
        </w:tc>
        <w:tc>
          <w:tcPr>
            <w:tcW w:w="1858" w:type="dxa"/>
            <w:gridSpan w:val="3"/>
            <w:noWrap/>
            <w:vAlign w:val="top"/>
          </w:tcPr>
          <w:p>
            <w:pPr>
              <w:rPr>
                <w:rFonts w:ascii="宋体" w:hAnsi="宋体"/>
              </w:rPr>
            </w:pPr>
            <w:r>
              <w:rPr>
                <w:rFonts w:hint="eastAsia" w:ascii="宋体" w:hAnsi="宋体"/>
              </w:rPr>
              <w:t>F级</w:t>
            </w:r>
          </w:p>
        </w:tc>
        <w:tc>
          <w:tcPr>
            <w:tcW w:w="2524" w:type="dxa"/>
            <w:noWrap/>
            <w:vAlign w:val="top"/>
          </w:tcPr>
          <w:p>
            <w:pPr>
              <w:rPr>
                <w:rFonts w:ascii="宋体" w:hAnsi="宋体"/>
              </w:rPr>
            </w:pPr>
            <w:r>
              <w:rPr>
                <w:rFonts w:hint="eastAsia" w:ascii="宋体" w:hAnsi="宋体"/>
              </w:rPr>
              <w:t>过电流</w:t>
            </w:r>
          </w:p>
        </w:tc>
        <w:tc>
          <w:tcPr>
            <w:tcW w:w="1646" w:type="dxa"/>
            <w:gridSpan w:val="2"/>
            <w:noWrap/>
            <w:vAlign w:val="top"/>
          </w:tcPr>
          <w:p>
            <w:pPr>
              <w:rPr>
                <w:rFonts w:ascii="宋体" w:hAnsi="宋体"/>
              </w:rPr>
            </w:pPr>
            <w:r>
              <w:rPr>
                <w:rFonts w:hint="eastAsia" w:ascii="宋体" w:hAnsi="宋体"/>
              </w:rPr>
              <w:t>3～5le≥5S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防护等级</w:t>
            </w:r>
          </w:p>
        </w:tc>
        <w:tc>
          <w:tcPr>
            <w:tcW w:w="1858" w:type="dxa"/>
            <w:gridSpan w:val="3"/>
            <w:noWrap/>
            <w:vAlign w:val="top"/>
          </w:tcPr>
          <w:p>
            <w:pPr>
              <w:rPr>
                <w:rFonts w:ascii="宋体" w:hAnsi="宋体"/>
              </w:rPr>
            </w:pPr>
            <w:r>
              <w:rPr>
                <w:rFonts w:hint="eastAsia" w:ascii="宋体" w:hAnsi="宋体"/>
              </w:rPr>
              <w:t>IP23级</w:t>
            </w:r>
          </w:p>
        </w:tc>
        <w:tc>
          <w:tcPr>
            <w:tcW w:w="2524" w:type="dxa"/>
            <w:noWrap/>
            <w:vAlign w:val="top"/>
          </w:tcPr>
          <w:p>
            <w:pPr>
              <w:rPr>
                <w:rFonts w:ascii="宋体" w:hAnsi="宋体"/>
              </w:rPr>
            </w:pPr>
            <w:r>
              <w:rPr>
                <w:rFonts w:hint="eastAsia" w:ascii="宋体" w:hAnsi="宋体"/>
              </w:rPr>
              <w:t>过载能力</w:t>
            </w:r>
          </w:p>
        </w:tc>
        <w:tc>
          <w:tcPr>
            <w:tcW w:w="1646" w:type="dxa"/>
            <w:gridSpan w:val="2"/>
            <w:noWrap/>
            <w:vAlign w:val="top"/>
          </w:tcPr>
          <w:p>
            <w:pPr>
              <w:rPr>
                <w:rFonts w:ascii="宋体" w:hAnsi="宋体"/>
              </w:rPr>
            </w:pPr>
            <w:r>
              <w:rPr>
                <w:rFonts w:hint="eastAsia" w:ascii="宋体" w:hAnsi="宋体"/>
              </w:rPr>
              <w:t>1.5倍2分钟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效率</w:t>
            </w:r>
          </w:p>
        </w:tc>
        <w:tc>
          <w:tcPr>
            <w:tcW w:w="1858" w:type="dxa"/>
            <w:gridSpan w:val="3"/>
            <w:noWrap/>
            <w:vAlign w:val="top"/>
          </w:tcPr>
          <w:p>
            <w:pPr>
              <w:rPr>
                <w:rFonts w:ascii="宋体" w:hAnsi="宋体"/>
              </w:rPr>
            </w:pPr>
            <w:r>
              <w:rPr>
                <w:rFonts w:hint="eastAsia" w:ascii="宋体" w:hAnsi="宋体"/>
              </w:rPr>
              <w:t>94.2%</w:t>
            </w:r>
          </w:p>
        </w:tc>
        <w:tc>
          <w:tcPr>
            <w:tcW w:w="2524" w:type="dxa"/>
            <w:noWrap/>
            <w:vAlign w:val="top"/>
          </w:tcPr>
          <w:p>
            <w:pPr>
              <w:rPr>
                <w:rFonts w:ascii="宋体" w:hAnsi="宋体"/>
              </w:rPr>
            </w:pPr>
            <w:r>
              <w:rPr>
                <w:rFonts w:hint="eastAsia" w:ascii="宋体" w:hAnsi="宋体"/>
              </w:rPr>
              <w:t>短路能力</w:t>
            </w:r>
          </w:p>
        </w:tc>
        <w:tc>
          <w:tcPr>
            <w:tcW w:w="1646" w:type="dxa"/>
            <w:gridSpan w:val="2"/>
            <w:noWrap/>
            <w:vAlign w:val="top"/>
          </w:tcPr>
          <w:p>
            <w:pPr>
              <w:rPr>
                <w:rFonts w:ascii="宋体" w:hAnsi="宋体"/>
              </w:rPr>
            </w:pPr>
            <w:r>
              <w:rPr>
                <w:rFonts w:hint="eastAsia" w:ascii="宋体" w:hAnsi="宋体"/>
              </w:rPr>
              <w:t>3倍2秒钟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53" w:type="dxa"/>
            <w:gridSpan w:val="2"/>
            <w:noWrap/>
            <w:vAlign w:val="top"/>
          </w:tcPr>
          <w:p>
            <w:pPr>
              <w:rPr>
                <w:rFonts w:ascii="宋体" w:hAnsi="宋体"/>
              </w:rPr>
            </w:pPr>
            <w:r>
              <w:rPr>
                <w:rFonts w:hint="eastAsia" w:ascii="宋体" w:hAnsi="宋体"/>
              </w:rPr>
              <w:t>电话干扰系数</w:t>
            </w:r>
          </w:p>
        </w:tc>
        <w:tc>
          <w:tcPr>
            <w:tcW w:w="1858" w:type="dxa"/>
            <w:gridSpan w:val="3"/>
            <w:noWrap/>
            <w:vAlign w:val="top"/>
          </w:tcPr>
          <w:p>
            <w:pPr>
              <w:rPr>
                <w:rFonts w:ascii="宋体" w:hAnsi="宋体"/>
              </w:rPr>
            </w:pPr>
            <w:r>
              <w:rPr>
                <w:rFonts w:hint="eastAsia" w:ascii="宋体" w:hAnsi="宋体"/>
              </w:rPr>
              <w:t>THF&lt;2%,  TIF&lt;50</w:t>
            </w:r>
          </w:p>
        </w:tc>
        <w:tc>
          <w:tcPr>
            <w:tcW w:w="2524" w:type="dxa"/>
            <w:noWrap/>
            <w:vAlign w:val="top"/>
          </w:tcPr>
          <w:p>
            <w:pPr>
              <w:rPr>
                <w:rFonts w:ascii="宋体" w:hAnsi="宋体"/>
              </w:rPr>
            </w:pPr>
            <w:r>
              <w:rPr>
                <w:rFonts w:hint="eastAsia" w:ascii="宋体" w:hAnsi="宋体"/>
              </w:rPr>
              <w:t>冷却方式</w:t>
            </w:r>
          </w:p>
        </w:tc>
        <w:tc>
          <w:tcPr>
            <w:tcW w:w="1646" w:type="dxa"/>
            <w:gridSpan w:val="2"/>
            <w:noWrap/>
            <w:vAlign w:val="top"/>
          </w:tcPr>
          <w:p>
            <w:pPr>
              <w:rPr>
                <w:rFonts w:ascii="宋体" w:hAnsi="宋体"/>
              </w:rPr>
            </w:pPr>
            <w:r>
              <w:rPr>
                <w:rFonts w:hint="eastAsia" w:ascii="宋体" w:hAnsi="宋体"/>
              </w:rPr>
              <w:t>自冷式</w:t>
            </w:r>
          </w:p>
        </w:tc>
      </w:tr>
    </w:tbl>
    <w:p>
      <w:pPr>
        <w:pStyle w:val="2"/>
        <w:ind w:firstLine="0" w:firstLineChars="0"/>
      </w:pPr>
    </w:p>
    <w:p>
      <w:pPr>
        <w:pStyle w:val="2"/>
        <w:ind w:firstLine="0" w:firstLineChars="0"/>
        <w:rPr>
          <w:rFonts w:ascii="仿宋" w:hAnsi="仿宋" w:eastAsia="仿宋"/>
          <w:sz w:val="24"/>
          <w:szCs w:val="24"/>
        </w:rPr>
      </w:pPr>
    </w:p>
    <w:p>
      <w:pPr>
        <w:spacing w:line="360" w:lineRule="auto"/>
        <w:ind w:firstLine="480"/>
        <w:rPr>
          <w:rFonts w:hint="eastAsia"/>
        </w:rPr>
      </w:pPr>
      <w:r>
        <w:rPr>
          <w:rFonts w:hint="eastAsia" w:ascii="宋体" w:hAnsi="宋体" w:cs="宋体"/>
          <w:sz w:val="24"/>
          <w:szCs w:val="24"/>
        </w:rPr>
        <w:t>2、质保期：</w:t>
      </w:r>
      <w:r>
        <w:t>供货方须对合同中规定的设备提供至少 24 个月的质保期及免费维修和保养，时间从安装并调试运行结束后算起。如一切因厂方组装疏忽、设计及原材料不当影响发电机组的正常运行，均由本公司负责修妥。</w:t>
      </w:r>
    </w:p>
    <w:p>
      <w:pPr>
        <w:spacing w:line="360" w:lineRule="auto"/>
        <w:ind w:firstLine="480"/>
        <w:rPr>
          <w:rFonts w:hint="eastAsia"/>
        </w:rPr>
      </w:pPr>
      <w:r>
        <w:t xml:space="preserve"> 采购品牌必须具备 24 小时服务和承担所有 维修服务的能力。维修人员接到维修电话后须在 3 小时内赶到现场，并提供 不间断的服务直到结束。维修点需提供足够的备件以适应维修需求。 发生紧急抢修事故时，供方在接到事故通知后，应当立即到达事故现场 抢修。 质保期内供货方须自行付费，负责修理和替换任何由于设备自身的质量 问题造成的损坏及故障。 </w:t>
      </w:r>
    </w:p>
    <w:p>
      <w:pPr>
        <w:spacing w:line="360" w:lineRule="auto"/>
        <w:ind w:firstLine="480"/>
        <w:rPr>
          <w:rFonts w:hint="eastAsia"/>
        </w:rPr>
      </w:pPr>
      <w:r>
        <w:t>在缺陷维修结束时，须由专业工程师对设备进行另一次测试，任何故障 须由供货方自费解决并取得招标人的同意。故障修复后，供货方需提供一式 两份报告给采购方，包括故障原因，解决措施，完成修理所费时间及恢复正 常运行日期。所维修项目应保证在六个月内不再出现类似问题。</w:t>
      </w:r>
    </w:p>
    <w:p>
      <w:pPr>
        <w:spacing w:line="360" w:lineRule="auto"/>
        <w:ind w:firstLine="480"/>
        <w:rPr>
          <w:rFonts w:ascii="宋体" w:hAnsi="宋体" w:cs="宋体"/>
          <w:sz w:val="24"/>
          <w:szCs w:val="24"/>
        </w:rPr>
      </w:pPr>
      <w:r>
        <w:rPr>
          <w:rFonts w:hint="eastAsia" w:ascii="宋体" w:hAnsi="宋体" w:cs="宋体"/>
          <w:sz w:val="24"/>
          <w:szCs w:val="24"/>
        </w:rPr>
        <w:t>3、供货方式：供方负责送货，从供方至需方的运杂费、上下力资（包括退换货的等一切费）等均由供货方负责。</w:t>
      </w:r>
    </w:p>
    <w:p>
      <w:pPr>
        <w:spacing w:line="360" w:lineRule="auto"/>
        <w:ind w:firstLine="480" w:firstLineChars="200"/>
        <w:rPr>
          <w:rFonts w:hint="eastAsia" w:ascii="宋体" w:hAnsi="宋体" w:cs="宋体"/>
          <w:bCs/>
          <w:sz w:val="24"/>
          <w:szCs w:val="24"/>
        </w:rPr>
      </w:pPr>
      <w:r>
        <w:rPr>
          <w:rFonts w:hint="eastAsia" w:ascii="宋体" w:hAnsi="宋体" w:cs="宋体"/>
          <w:sz w:val="24"/>
          <w:szCs w:val="24"/>
        </w:rPr>
        <w:t>4、交货期限：</w:t>
      </w:r>
      <w:r>
        <w:rPr>
          <w:rFonts w:hint="eastAsia" w:ascii="宋体" w:hAnsi="宋体" w:cs="宋体"/>
          <w:bCs/>
          <w:sz w:val="24"/>
          <w:szCs w:val="24"/>
        </w:rPr>
        <w:t>合同签订后中标供应商接到甲方供货通知后30天内交货。如成交供应商逾期交货，除不可抗力外，成交供应商应向采购人就逾期交货部分支付违约金，具体支付比例如下：</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迟交1～3天，每天违约金金额为逾期交货部分总价款的千分之三；</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迟交3～7天，每天违约金金额为逾期交货部分总价款的千分之五；</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迟交7～15天，每天违约金金额为逾期交货部分总价款的千分之八，如因此严重延误施工工期的，则视为成交供应商不履行合同。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s="宋体"/>
          <w:sz w:val="24"/>
          <w:szCs w:val="24"/>
        </w:rPr>
      </w:pPr>
      <w:r>
        <w:rPr>
          <w:rFonts w:hint="eastAsia" w:ascii="宋体" w:hAnsi="宋体" w:cs="宋体"/>
          <w:bCs/>
          <w:sz w:val="24"/>
          <w:szCs w:val="24"/>
        </w:rPr>
        <w:t>5、评标办法：本次采购项目采用最低价评标法。投标单位中</w:t>
      </w:r>
      <w:r>
        <w:rPr>
          <w:rFonts w:hint="eastAsia" w:ascii="宋体" w:hAnsi="宋体" w:cs="宋体"/>
          <w:sz w:val="24"/>
          <w:szCs w:val="24"/>
        </w:rPr>
        <w:t>标后，如若中途毁约，则取消下次投标资格，并扣除投标保证金。如发生产品质量问题由供方全额赔偿经济损失。</w:t>
      </w:r>
    </w:p>
    <w:p>
      <w:pPr>
        <w:pStyle w:val="378"/>
        <w:widowControl/>
        <w:wordWrap w:val="0"/>
        <w:spacing w:line="336" w:lineRule="auto"/>
        <w:ind w:firstLine="480" w:firstLineChars="200"/>
        <w:jc w:val="left"/>
        <w:rPr>
          <w:rFonts w:ascii="宋体" w:hAnsi="宋体" w:cs="宋体"/>
          <w:sz w:val="24"/>
          <w:szCs w:val="24"/>
        </w:rPr>
      </w:pPr>
      <w:r>
        <w:rPr>
          <w:rFonts w:hint="eastAsia" w:ascii="宋体" w:hAnsi="宋体" w:cs="宋体"/>
          <w:sz w:val="24"/>
          <w:szCs w:val="24"/>
        </w:rPr>
        <w:t xml:space="preserve">   四、有关说明</w:t>
      </w:r>
    </w:p>
    <w:p>
      <w:pPr>
        <w:spacing w:line="360" w:lineRule="auto"/>
        <w:ind w:firstLine="480" w:firstLineChars="200"/>
        <w:rPr>
          <w:rFonts w:ascii="宋体" w:hAnsi="宋体" w:cs="宋体"/>
          <w:sz w:val="24"/>
          <w:szCs w:val="24"/>
        </w:rPr>
      </w:pPr>
      <w:r>
        <w:rPr>
          <w:rFonts w:hint="eastAsia" w:ascii="宋体" w:hAnsi="宋体" w:cs="宋体"/>
          <w:sz w:val="24"/>
          <w:szCs w:val="24"/>
        </w:rPr>
        <w:t>1、本</w:t>
      </w:r>
      <w:r>
        <w:rPr>
          <w:rFonts w:hint="eastAsia" w:ascii="宋体" w:hAnsi="宋体" w:cs="宋体"/>
          <w:bCs/>
          <w:sz w:val="24"/>
          <w:szCs w:val="24"/>
        </w:rPr>
        <w:t>采购</w:t>
      </w:r>
      <w:r>
        <w:rPr>
          <w:rFonts w:hint="eastAsia" w:ascii="宋体" w:hAnsi="宋体" w:cs="宋体"/>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cs="宋体"/>
          <w:bCs/>
          <w:sz w:val="24"/>
          <w:szCs w:val="24"/>
        </w:rPr>
        <w:t>准要求作实质性响应。</w:t>
      </w:r>
    </w:p>
    <w:p>
      <w:pPr>
        <w:pStyle w:val="519"/>
        <w:spacing w:line="380" w:lineRule="exact"/>
        <w:ind w:firstLine="490"/>
        <w:rPr>
          <w:rFonts w:hint="eastAsia" w:ascii="宋体" w:hAnsi="宋体" w:cs="宋体"/>
          <w:color w:val="000000"/>
          <w:kern w:val="0"/>
          <w:sz w:val="24"/>
        </w:rPr>
      </w:pPr>
      <w:r>
        <w:rPr>
          <w:rFonts w:hint="eastAsia" w:ascii="宋体" w:hAnsi="宋体" w:cs="宋体"/>
          <w:bCs/>
          <w:sz w:val="24"/>
          <w:szCs w:val="24"/>
        </w:rPr>
        <w:t>2、供货周期：</w:t>
      </w:r>
      <w:r>
        <w:rPr>
          <w:rFonts w:hint="eastAsia" w:ascii="宋体" w:hAnsi="宋体" w:cs="宋体"/>
          <w:color w:val="000000"/>
          <w:kern w:val="0"/>
          <w:sz w:val="24"/>
          <w:highlight w:val="yellow"/>
        </w:rPr>
        <w:t>本次招标的设备接到发货通知之日起30日内必须把货物送达需方指定的供货现场。到货时间以施工单位、监理及现场负责人共同签收时间为准。</w:t>
      </w:r>
    </w:p>
    <w:p>
      <w:pPr>
        <w:spacing w:line="360" w:lineRule="auto"/>
        <w:ind w:firstLine="480" w:firstLineChars="200"/>
        <w:rPr>
          <w:rFonts w:ascii="宋体" w:hAnsi="宋体" w:cs="宋体"/>
          <w:bCs/>
          <w:sz w:val="24"/>
          <w:szCs w:val="24"/>
        </w:rPr>
      </w:pPr>
      <w:r>
        <w:rPr>
          <w:rFonts w:hint="eastAsia" w:ascii="宋体" w:hAnsi="宋体" w:cs="宋体"/>
          <w:bCs/>
          <w:sz w:val="24"/>
          <w:szCs w:val="24"/>
        </w:rPr>
        <w:t>3、服务地点：采购人指定地点（宜兴市范围内）。</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pPr>
        <w:spacing w:line="360" w:lineRule="auto"/>
        <w:ind w:firstLine="480" w:firstLineChars="200"/>
        <w:rPr>
          <w:rFonts w:ascii="宋体" w:hAnsi="宋体" w:cs="宋体"/>
          <w:bCs/>
          <w:sz w:val="24"/>
          <w:szCs w:val="24"/>
          <w:highlight w:val="yellow"/>
        </w:rPr>
      </w:pPr>
      <w:r>
        <w:rPr>
          <w:rFonts w:hint="eastAsia" w:ascii="宋体" w:hAnsi="宋体" w:cs="宋体"/>
          <w:bCs/>
          <w:sz w:val="24"/>
          <w:szCs w:val="24"/>
          <w:highlight w:val="yellow"/>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pPr>
        <w:spacing w:line="360" w:lineRule="auto"/>
        <w:ind w:firstLine="480" w:firstLineChars="200"/>
        <w:rPr>
          <w:rFonts w:ascii="宋体" w:hAnsi="宋体" w:cs="宋体"/>
          <w:bCs/>
          <w:sz w:val="24"/>
          <w:szCs w:val="24"/>
          <w:highlight w:val="yellow"/>
        </w:rPr>
      </w:pPr>
      <w:r>
        <w:rPr>
          <w:rFonts w:hint="eastAsia" w:ascii="宋体" w:hAnsi="宋体" w:cs="宋体"/>
          <w:bCs/>
          <w:sz w:val="24"/>
          <w:szCs w:val="24"/>
          <w:highlight w:val="yellow"/>
        </w:rPr>
        <w:t>（2）余款10%作为质保金，在质保期一年满后15日内一次性付清。</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highlight w:val="yellow"/>
        </w:rPr>
        <w:t>（由于财政结算等流程设计问题，特殊情况结算会滞后）</w:t>
      </w:r>
      <w:bookmarkEnd w:id="69"/>
      <w:bookmarkEnd w:id="70"/>
      <w:bookmarkEnd w:id="71"/>
      <w:bookmarkEnd w:id="72"/>
      <w:bookmarkEnd w:id="73"/>
      <w:bookmarkEnd w:id="74"/>
      <w:bookmarkEnd w:id="75"/>
    </w:p>
    <w:p>
      <w:pPr>
        <w:pStyle w:val="2"/>
        <w:ind w:firstLine="210"/>
        <w:rPr>
          <w:rFonts w:hint="eastAsia"/>
        </w:rPr>
      </w:pPr>
    </w:p>
    <w:p>
      <w:pPr>
        <w:pStyle w:val="518"/>
        <w:keepNext/>
        <w:keepLines/>
        <w:pageBreakBefore/>
        <w:spacing w:line="576" w:lineRule="auto"/>
        <w:jc w:val="center"/>
        <w:outlineLvl w:val="0"/>
        <w:rPr>
          <w:b/>
          <w:sz w:val="44"/>
          <w:szCs w:val="44"/>
        </w:rPr>
      </w:pPr>
      <w:bookmarkStart w:id="78" w:name="_Toc15563261"/>
      <w:bookmarkStart w:id="79" w:name="_Toc476061425"/>
      <w:bookmarkStart w:id="80" w:name="_Toc32924755"/>
      <w:bookmarkStart w:id="81" w:name="_Toc498350707"/>
      <w:r>
        <w:rPr>
          <w:rFonts w:hint="eastAsia"/>
          <w:b/>
          <w:sz w:val="44"/>
          <w:szCs w:val="44"/>
          <w:highlight w:val="white"/>
        </w:rPr>
        <w:t>合同条款及格式</w:t>
      </w:r>
      <w:bookmarkEnd w:id="78"/>
      <w:bookmarkEnd w:id="79"/>
      <w:bookmarkEnd w:id="80"/>
      <w:bookmarkEnd w:id="81"/>
    </w:p>
    <w:p>
      <w:pPr>
        <w:pStyle w:val="518"/>
        <w:rPr>
          <w:highlight w:val="red"/>
        </w:rPr>
      </w:pPr>
    </w:p>
    <w:p>
      <w:pPr>
        <w:pStyle w:val="347"/>
        <w:jc w:val="center"/>
        <w:rPr>
          <w:b w:val="0"/>
          <w:kern w:val="2"/>
          <w:sz w:val="28"/>
        </w:rPr>
      </w:pPr>
      <w:bookmarkStart w:id="82" w:name="_Toc464206274"/>
      <w:bookmarkStart w:id="83" w:name="_Toc395096185"/>
      <w:bookmarkStart w:id="84" w:name="_Toc459706761"/>
      <w:r>
        <w:rPr>
          <w:rFonts w:hint="eastAsia"/>
          <w:b w:val="0"/>
          <w:kern w:val="2"/>
          <w:sz w:val="28"/>
        </w:rPr>
        <w:t>第一部分</w:t>
      </w:r>
      <w:r>
        <w:rPr>
          <w:b w:val="0"/>
          <w:kern w:val="2"/>
          <w:sz w:val="28"/>
        </w:rPr>
        <w:t xml:space="preserve"> </w:t>
      </w:r>
      <w:r>
        <w:rPr>
          <w:rFonts w:hint="eastAsia"/>
          <w:b w:val="0"/>
          <w:kern w:val="2"/>
          <w:sz w:val="28"/>
        </w:rPr>
        <w:t>协议书</w:t>
      </w:r>
    </w:p>
    <w:bookmarkEnd w:id="82"/>
    <w:bookmarkEnd w:id="83"/>
    <w:bookmarkEnd w:id="84"/>
    <w:p>
      <w:pPr>
        <w:pStyle w:val="519"/>
        <w:spacing w:line="380" w:lineRule="exact"/>
        <w:ind w:firstLine="490"/>
        <w:rPr>
          <w:rFonts w:ascii="宋体"/>
          <w:sz w:val="24"/>
          <w:u w:val="single"/>
        </w:rPr>
      </w:pPr>
      <w:r>
        <w:rPr>
          <w:rFonts w:hint="eastAsia" w:ascii="宋体" w:hAnsi="宋体"/>
          <w:sz w:val="24"/>
        </w:rPr>
        <w:t>发包人（即甲方，全称）：</w:t>
      </w:r>
    </w:p>
    <w:p>
      <w:pPr>
        <w:pStyle w:val="519"/>
        <w:spacing w:line="380" w:lineRule="exact"/>
        <w:ind w:firstLine="490"/>
        <w:rPr>
          <w:rFonts w:ascii="宋体"/>
          <w:sz w:val="24"/>
          <w:u w:val="single"/>
        </w:rPr>
      </w:pPr>
      <w:r>
        <w:rPr>
          <w:rFonts w:hint="eastAsia" w:ascii="宋体" w:hAnsi="宋体"/>
          <w:sz w:val="24"/>
        </w:rPr>
        <w:t>承包人（即乙方，全称）：</w:t>
      </w:r>
    </w:p>
    <w:p>
      <w:pPr>
        <w:pStyle w:val="519"/>
        <w:spacing w:line="380" w:lineRule="exact"/>
        <w:ind w:firstLine="490"/>
        <w:rPr>
          <w:rFonts w:ascii="宋体"/>
          <w:sz w:val="24"/>
        </w:rPr>
      </w:pPr>
      <w:r>
        <w:rPr>
          <w:rFonts w:hint="eastAsia" w:ascii="宋体" w:hAnsi="宋体"/>
          <w:sz w:val="24"/>
        </w:rPr>
        <w:t>一、依照《中华人民共和国合同法》及其他有关法律、行政法规，遵循平等、自愿、公平和诚实信用的原则，双方就本设备项目协商一致，订立本合同。</w:t>
      </w:r>
    </w:p>
    <w:p>
      <w:pPr>
        <w:pStyle w:val="519"/>
        <w:spacing w:line="380" w:lineRule="exact"/>
        <w:ind w:firstLine="490"/>
        <w:rPr>
          <w:rFonts w:ascii="宋体"/>
          <w:sz w:val="24"/>
        </w:rPr>
      </w:pPr>
      <w:r>
        <w:rPr>
          <w:rFonts w:hint="eastAsia" w:ascii="宋体" w:hAnsi="宋体"/>
          <w:sz w:val="24"/>
        </w:rPr>
        <w:t>二、质量标准</w:t>
      </w:r>
    </w:p>
    <w:p>
      <w:pPr>
        <w:pStyle w:val="519"/>
        <w:spacing w:after="120" w:line="380" w:lineRule="exact"/>
        <w:rPr>
          <w:color w:val="000000"/>
          <w:sz w:val="24"/>
        </w:rPr>
      </w:pPr>
      <w:r>
        <w:rPr>
          <w:rFonts w:hint="eastAsia"/>
          <w:color w:val="000000"/>
          <w:sz w:val="24"/>
        </w:rPr>
        <w:t>符合国家现行有关标准、相关行业规范及招标人要求，由发包单位负责验收。货物送达现场后需方组织相关人员对货物进行验收。</w:t>
      </w:r>
    </w:p>
    <w:p>
      <w:pPr>
        <w:pStyle w:val="519"/>
        <w:spacing w:after="120" w:line="380" w:lineRule="exact"/>
        <w:ind w:left="420" w:leftChars="200"/>
        <w:rPr>
          <w:color w:val="000000"/>
          <w:sz w:val="24"/>
          <w:u w:val="single"/>
        </w:rPr>
      </w:pPr>
      <w:r>
        <w:rPr>
          <w:rFonts w:hint="eastAsia"/>
          <w:color w:val="000000"/>
          <w:sz w:val="24"/>
        </w:rPr>
        <w:t>三、合同价款</w:t>
      </w:r>
    </w:p>
    <w:p>
      <w:pPr>
        <w:pStyle w:val="519"/>
        <w:spacing w:line="380" w:lineRule="exact"/>
        <w:ind w:firstLine="490"/>
        <w:rPr>
          <w:rFonts w:ascii="宋体"/>
          <w:color w:val="000000"/>
          <w:sz w:val="24"/>
        </w:rPr>
      </w:pPr>
      <w:r>
        <w:rPr>
          <w:rFonts w:hint="eastAsia" w:ascii="宋体" w:hAnsi="宋体"/>
          <w:color w:val="000000"/>
          <w:sz w:val="24"/>
        </w:rPr>
        <w:t>金额（大写）：元（人民币）</w:t>
      </w:r>
    </w:p>
    <w:p>
      <w:pPr>
        <w:pStyle w:val="519"/>
        <w:spacing w:line="380" w:lineRule="exact"/>
        <w:ind w:left="1199" w:leftChars="571" w:firstLine="360" w:firstLineChars="150"/>
        <w:rPr>
          <w:rFonts w:ascii="宋体"/>
          <w:color w:val="000000"/>
          <w:sz w:val="24"/>
        </w:rPr>
      </w:pPr>
      <w:r>
        <w:rPr>
          <w:rFonts w:hint="eastAsia" w:ascii="宋体" w:hAnsi="宋体"/>
          <w:color w:val="000000"/>
          <w:sz w:val="24"/>
        </w:rPr>
        <w:t>￥：元（人民币）</w:t>
      </w:r>
    </w:p>
    <w:p>
      <w:pPr>
        <w:pStyle w:val="519"/>
        <w:spacing w:after="120" w:line="380" w:lineRule="exact"/>
        <w:ind w:left="420" w:leftChars="200"/>
        <w:rPr>
          <w:color w:val="000000"/>
          <w:sz w:val="24"/>
        </w:rPr>
      </w:pPr>
      <w:bookmarkStart w:id="85" w:name="_Toc351203486"/>
      <w:r>
        <w:rPr>
          <w:rFonts w:hint="eastAsia"/>
          <w:color w:val="000000"/>
          <w:sz w:val="24"/>
        </w:rPr>
        <w:t>四、合同文件构成</w:t>
      </w:r>
      <w:bookmarkEnd w:id="85"/>
    </w:p>
    <w:p>
      <w:pPr>
        <w:pStyle w:val="519"/>
        <w:autoSpaceDE w:val="0"/>
        <w:autoSpaceDN w:val="0"/>
        <w:adjustRightInd w:val="0"/>
        <w:spacing w:line="360" w:lineRule="auto"/>
        <w:ind w:firstLine="480" w:firstLineChars="200"/>
        <w:jc w:val="left"/>
        <w:rPr>
          <w:rFonts w:ascii="宋体"/>
          <w:color w:val="000000"/>
          <w:sz w:val="24"/>
        </w:rPr>
      </w:pPr>
      <w:r>
        <w:rPr>
          <w:rFonts w:hint="eastAsia" w:ascii="宋体" w:hAnsi="宋体"/>
          <w:color w:val="000000"/>
          <w:sz w:val="24"/>
        </w:rPr>
        <w:t>（</w:t>
      </w:r>
      <w:r>
        <w:rPr>
          <w:rFonts w:ascii="宋体" w:hAnsi="宋体"/>
          <w:color w:val="000000"/>
          <w:sz w:val="24"/>
        </w:rPr>
        <w:t>1</w:t>
      </w:r>
      <w:r>
        <w:rPr>
          <w:rFonts w:hint="eastAsia" w:ascii="宋体" w:hAnsi="宋体"/>
          <w:color w:val="000000"/>
          <w:sz w:val="24"/>
        </w:rPr>
        <w:t>）合同书及所附条款；（</w:t>
      </w:r>
      <w:r>
        <w:rPr>
          <w:rFonts w:ascii="宋体" w:hAnsi="宋体"/>
          <w:color w:val="000000"/>
          <w:sz w:val="24"/>
        </w:rPr>
        <w:t>2</w:t>
      </w:r>
      <w:r>
        <w:rPr>
          <w:rFonts w:hint="eastAsia" w:ascii="宋体" w:hAnsi="宋体"/>
          <w:color w:val="000000"/>
          <w:sz w:val="24"/>
        </w:rPr>
        <w:t>）中标通知书；（</w:t>
      </w:r>
      <w:r>
        <w:rPr>
          <w:rFonts w:ascii="宋体" w:hAnsi="宋体"/>
          <w:color w:val="000000"/>
          <w:sz w:val="24"/>
        </w:rPr>
        <w:t>3</w:t>
      </w:r>
      <w:r>
        <w:rPr>
          <w:rFonts w:hint="eastAsia" w:ascii="宋体" w:hAnsi="宋体"/>
          <w:color w:val="000000"/>
          <w:sz w:val="24"/>
        </w:rPr>
        <w:t>）供方中标的投标文件；（</w:t>
      </w:r>
      <w:r>
        <w:rPr>
          <w:rFonts w:ascii="宋体" w:hAnsi="宋体"/>
          <w:color w:val="000000"/>
          <w:sz w:val="24"/>
        </w:rPr>
        <w:t>4</w:t>
      </w:r>
      <w:r>
        <w:rPr>
          <w:rFonts w:hint="eastAsia" w:ascii="宋体" w:hAnsi="宋体"/>
          <w:color w:val="000000"/>
          <w:sz w:val="24"/>
        </w:rPr>
        <w:t>）招标文件；（</w:t>
      </w:r>
      <w:r>
        <w:rPr>
          <w:rFonts w:ascii="宋体" w:hAnsi="宋体"/>
          <w:color w:val="000000"/>
          <w:sz w:val="24"/>
        </w:rPr>
        <w:t>5</w:t>
      </w:r>
      <w:r>
        <w:rPr>
          <w:rFonts w:hint="eastAsia" w:ascii="宋体" w:hAnsi="宋体"/>
          <w:color w:val="000000"/>
          <w:sz w:val="24"/>
        </w:rPr>
        <w:t>）供方在投标过程中所作的其他有关承诺、声明、书面澄清等。在合同订立及履行过程中形成的与合同有关的文件均构成合同文件组成部分。</w:t>
      </w:r>
    </w:p>
    <w:p>
      <w:pPr>
        <w:pStyle w:val="519"/>
        <w:spacing w:line="380" w:lineRule="exact"/>
        <w:ind w:firstLine="490"/>
        <w:rPr>
          <w:rFonts w:ascii="宋体"/>
          <w:color w:val="000000"/>
          <w:sz w:val="24"/>
        </w:rPr>
      </w:pPr>
      <w:r>
        <w:rPr>
          <w:rFonts w:hint="eastAsia" w:ascii="宋体" w:hAnsi="宋体"/>
          <w:color w:val="000000"/>
          <w:sz w:val="24"/>
        </w:rPr>
        <w:t>上述各项合同文件包括合同当事人就该项合同文件所作出的补充和修改，属于同一类内容的文件，应以最新签署的为准。专用合同条款及其附件须经合同当事人签字或盖章。</w:t>
      </w:r>
    </w:p>
    <w:p>
      <w:pPr>
        <w:pStyle w:val="519"/>
        <w:spacing w:after="120"/>
        <w:ind w:left="420" w:leftChars="200"/>
        <w:rPr>
          <w:sz w:val="24"/>
        </w:rPr>
      </w:pPr>
      <w:bookmarkStart w:id="86" w:name="_Toc351203487"/>
      <w:r>
        <w:rPr>
          <w:rFonts w:hint="eastAsia"/>
          <w:sz w:val="24"/>
        </w:rPr>
        <w:t>五、承诺</w:t>
      </w:r>
      <w:bookmarkEnd w:id="86"/>
    </w:p>
    <w:p>
      <w:pPr>
        <w:pStyle w:val="519"/>
        <w:ind w:firstLine="480" w:firstLineChars="200"/>
        <w:rPr>
          <w:rFonts w:ascii="宋体"/>
          <w:bCs/>
          <w:color w:val="000000"/>
          <w:sz w:val="24"/>
        </w:rPr>
      </w:pPr>
      <w:r>
        <w:rPr>
          <w:rFonts w:ascii="宋体" w:hAnsi="宋体"/>
          <w:bCs/>
          <w:color w:val="000000"/>
          <w:sz w:val="24"/>
        </w:rPr>
        <w:t>2.</w:t>
      </w:r>
      <w:r>
        <w:rPr>
          <w:rFonts w:hint="eastAsia" w:ascii="宋体" w:hAnsi="宋体"/>
          <w:bCs/>
          <w:color w:val="000000"/>
          <w:sz w:val="24"/>
        </w:rPr>
        <w:t>承包人承诺按照法律规定及合同约定组织完成供货，确保货物质量和安全，并在质保期内承担相应的责任。</w:t>
      </w:r>
    </w:p>
    <w:p>
      <w:pPr>
        <w:pStyle w:val="519"/>
        <w:rPr>
          <w:sz w:val="24"/>
        </w:rPr>
      </w:pPr>
      <w:bookmarkStart w:id="87" w:name="_Toc351203491"/>
      <w:r>
        <w:rPr>
          <w:rFonts w:hint="eastAsia"/>
          <w:sz w:val="24"/>
        </w:rPr>
        <w:t>六、补充协议</w:t>
      </w:r>
      <w:bookmarkEnd w:id="87"/>
    </w:p>
    <w:p>
      <w:pPr>
        <w:pStyle w:val="519"/>
        <w:rPr>
          <w:rFonts w:ascii="宋体"/>
          <w:bCs/>
          <w:color w:val="000000"/>
          <w:sz w:val="24"/>
        </w:rPr>
      </w:pPr>
      <w:r>
        <w:rPr>
          <w:rFonts w:hint="eastAsia" w:ascii="宋体" w:hAnsi="宋体"/>
          <w:bCs/>
          <w:color w:val="000000"/>
          <w:sz w:val="24"/>
        </w:rPr>
        <w:t>合同未尽事宜，合同当事人另行签订补充协议，补充协议是合同的组成部分。</w:t>
      </w:r>
    </w:p>
    <w:p>
      <w:pPr>
        <w:pStyle w:val="519"/>
        <w:spacing w:after="120"/>
        <w:ind w:left="420" w:leftChars="200"/>
        <w:rPr>
          <w:sz w:val="24"/>
        </w:rPr>
      </w:pPr>
      <w:bookmarkStart w:id="88" w:name="_Toc351203492"/>
      <w:r>
        <w:rPr>
          <w:rFonts w:hint="eastAsia"/>
          <w:sz w:val="24"/>
        </w:rPr>
        <w:t>七、合同生效</w:t>
      </w:r>
      <w:bookmarkEnd w:id="88"/>
    </w:p>
    <w:p>
      <w:pPr>
        <w:pStyle w:val="519"/>
        <w:rPr>
          <w:rFonts w:ascii="宋体"/>
          <w:bCs/>
          <w:color w:val="000000"/>
          <w:sz w:val="24"/>
        </w:rPr>
      </w:pPr>
      <w:r>
        <w:rPr>
          <w:rFonts w:hint="eastAsia" w:ascii="宋体" w:hAnsi="宋体"/>
          <w:bCs/>
          <w:color w:val="000000"/>
          <w:sz w:val="24"/>
        </w:rPr>
        <w:t>本合同自双方签字盖章后生效。</w:t>
      </w:r>
    </w:p>
    <w:p>
      <w:pPr>
        <w:pStyle w:val="519"/>
        <w:spacing w:after="120"/>
        <w:ind w:left="420" w:leftChars="200"/>
        <w:rPr>
          <w:rFonts w:eastAsia="黑体"/>
          <w:b/>
          <w:color w:val="000000"/>
          <w:sz w:val="24"/>
        </w:rPr>
      </w:pPr>
      <w:bookmarkStart w:id="89" w:name="_Toc351203493"/>
      <w:r>
        <w:rPr>
          <w:rFonts w:hint="eastAsia"/>
          <w:sz w:val="24"/>
        </w:rPr>
        <w:t>八、合同份数</w:t>
      </w:r>
      <w:bookmarkEnd w:id="89"/>
    </w:p>
    <w:p>
      <w:pPr>
        <w:pStyle w:val="519"/>
        <w:rPr>
          <w:rFonts w:eastAsia="仿宋_GB2312"/>
          <w:bCs/>
          <w:color w:val="000000"/>
          <w:sz w:val="24"/>
        </w:rPr>
      </w:pPr>
      <w:r>
        <w:rPr>
          <w:rFonts w:hint="eastAsia" w:ascii="宋体" w:hAnsi="宋体"/>
          <w:bCs/>
          <w:color w:val="000000"/>
          <w:sz w:val="24"/>
        </w:rPr>
        <w:t>本合同一式陆份，均具有同等法律效力，发包人执肆份，承包人执贰份。</w:t>
      </w:r>
    </w:p>
    <w:p>
      <w:pPr>
        <w:pStyle w:val="519"/>
        <w:tabs>
          <w:tab w:val="left" w:pos="5000"/>
        </w:tabs>
        <w:spacing w:line="360" w:lineRule="auto"/>
        <w:ind w:firstLine="360" w:firstLineChars="150"/>
        <w:rPr>
          <w:rFonts w:ascii="宋体"/>
          <w:color w:val="000000"/>
          <w:sz w:val="24"/>
        </w:rPr>
      </w:pPr>
      <w:r>
        <w:rPr>
          <w:rFonts w:hint="eastAsia" w:ascii="宋体" w:hAnsi="宋体"/>
          <w:color w:val="000000"/>
          <w:sz w:val="24"/>
        </w:rPr>
        <w:t>发</w:t>
      </w:r>
      <w:r>
        <w:rPr>
          <w:rFonts w:ascii="宋体" w:hAnsi="宋体"/>
          <w:color w:val="000000"/>
          <w:sz w:val="24"/>
        </w:rPr>
        <w:t xml:space="preserve">    </w:t>
      </w:r>
      <w:r>
        <w:rPr>
          <w:rFonts w:hint="eastAsia" w:ascii="宋体" w:hAnsi="宋体"/>
          <w:color w:val="000000"/>
          <w:sz w:val="24"/>
        </w:rPr>
        <w:t>包</w:t>
      </w:r>
      <w:r>
        <w:rPr>
          <w:rFonts w:ascii="宋体" w:hAnsi="宋体"/>
          <w:color w:val="000000"/>
          <w:sz w:val="24"/>
        </w:rPr>
        <w:t xml:space="preserve">    </w:t>
      </w:r>
      <w:r>
        <w:rPr>
          <w:rFonts w:hint="eastAsia" w:ascii="宋体" w:hAnsi="宋体"/>
          <w:color w:val="000000"/>
          <w:sz w:val="24"/>
        </w:rPr>
        <w:t>人（公章）：</w:t>
      </w:r>
      <w:r>
        <w:rPr>
          <w:rFonts w:ascii="宋体"/>
          <w:color w:val="000000"/>
          <w:sz w:val="24"/>
        </w:rPr>
        <w:tab/>
      </w:r>
      <w:r>
        <w:rPr>
          <w:rFonts w:hint="eastAsia" w:ascii="宋体" w:hAnsi="宋体"/>
          <w:color w:val="000000"/>
          <w:sz w:val="24"/>
        </w:rPr>
        <w:t>承</w:t>
      </w:r>
      <w:r>
        <w:rPr>
          <w:rFonts w:ascii="宋体" w:hAnsi="宋体"/>
          <w:color w:val="000000"/>
          <w:sz w:val="24"/>
        </w:rPr>
        <w:t xml:space="preserve">    </w:t>
      </w:r>
      <w:r>
        <w:rPr>
          <w:rFonts w:hint="eastAsia" w:ascii="宋体" w:hAnsi="宋体"/>
          <w:color w:val="000000"/>
          <w:sz w:val="24"/>
        </w:rPr>
        <w:t>包</w:t>
      </w:r>
      <w:r>
        <w:rPr>
          <w:rFonts w:ascii="宋体" w:hAnsi="宋体"/>
          <w:color w:val="000000"/>
          <w:sz w:val="24"/>
        </w:rPr>
        <w:t xml:space="preserve">    </w:t>
      </w:r>
      <w:r>
        <w:rPr>
          <w:rFonts w:hint="eastAsia" w:ascii="宋体" w:hAnsi="宋体"/>
          <w:color w:val="000000"/>
          <w:sz w:val="24"/>
        </w:rPr>
        <w:t>人（公章）：</w:t>
      </w:r>
    </w:p>
    <w:p>
      <w:pPr>
        <w:pStyle w:val="519"/>
        <w:tabs>
          <w:tab w:val="left" w:pos="5000"/>
        </w:tabs>
        <w:spacing w:line="360" w:lineRule="auto"/>
        <w:ind w:left="420"/>
        <w:rPr>
          <w:rFonts w:ascii="宋体"/>
          <w:color w:val="000000"/>
          <w:sz w:val="24"/>
        </w:rPr>
      </w:pPr>
      <w:r>
        <w:rPr>
          <w:rFonts w:hint="eastAsia" w:ascii="宋体" w:hAnsi="宋体"/>
          <w:color w:val="000000"/>
          <w:sz w:val="24"/>
        </w:rPr>
        <w:t>法定代表人（签字）：</w:t>
      </w:r>
      <w:r>
        <w:rPr>
          <w:rFonts w:ascii="宋体"/>
          <w:color w:val="000000"/>
          <w:sz w:val="24"/>
        </w:rPr>
        <w:tab/>
      </w:r>
      <w:r>
        <w:rPr>
          <w:rFonts w:ascii="宋体"/>
          <w:color w:val="000000"/>
          <w:sz w:val="24"/>
        </w:rPr>
        <w:tab/>
      </w:r>
      <w:r>
        <w:rPr>
          <w:rFonts w:hint="eastAsia" w:ascii="宋体" w:hAnsi="宋体"/>
          <w:color w:val="000000"/>
          <w:sz w:val="24"/>
        </w:rPr>
        <w:t>法定代表人（签字）：</w:t>
      </w:r>
    </w:p>
    <w:p>
      <w:pPr>
        <w:pStyle w:val="519"/>
        <w:tabs>
          <w:tab w:val="left" w:pos="4700"/>
        </w:tabs>
        <w:spacing w:line="360" w:lineRule="auto"/>
        <w:ind w:firstLine="490"/>
      </w:pPr>
      <w:r>
        <w:rPr>
          <w:rFonts w:hint="eastAsia" w:ascii="宋体" w:hAnsi="宋体"/>
          <w:color w:val="000000"/>
          <w:sz w:val="24"/>
        </w:rPr>
        <w:t>年月日</w:t>
      </w:r>
      <w:r>
        <w:rPr>
          <w:rFonts w:ascii="宋体"/>
          <w:color w:val="000000"/>
          <w:sz w:val="24"/>
        </w:rPr>
        <w:tab/>
      </w:r>
      <w:r>
        <w:rPr>
          <w:rFonts w:hint="eastAsia" w:ascii="宋体" w:hAnsi="宋体"/>
          <w:color w:val="000000"/>
          <w:sz w:val="24"/>
        </w:rPr>
        <w:t>年月日</w:t>
      </w:r>
    </w:p>
    <w:p>
      <w:pPr>
        <w:pStyle w:val="519"/>
        <w:jc w:val="center"/>
        <w:rPr>
          <w:rFonts w:ascii="黑体" w:eastAsia="黑体"/>
          <w:sz w:val="28"/>
        </w:rPr>
      </w:pPr>
    </w:p>
    <w:p>
      <w:pPr>
        <w:pStyle w:val="519"/>
        <w:jc w:val="center"/>
        <w:rPr>
          <w:rFonts w:hint="eastAsia" w:ascii="黑体" w:eastAsia="黑体"/>
          <w:sz w:val="28"/>
        </w:rPr>
      </w:pPr>
    </w:p>
    <w:p>
      <w:pPr>
        <w:pStyle w:val="519"/>
        <w:jc w:val="center"/>
        <w:rPr>
          <w:rFonts w:ascii="黑体" w:eastAsia="黑体"/>
          <w:sz w:val="28"/>
        </w:rPr>
      </w:pPr>
      <w:r>
        <w:rPr>
          <w:rFonts w:hint="eastAsia" w:ascii="黑体" w:eastAsia="黑体"/>
          <w:sz w:val="28"/>
        </w:rPr>
        <w:t>合同主要条款</w:t>
      </w:r>
    </w:p>
    <w:p>
      <w:pPr>
        <w:pStyle w:val="519"/>
        <w:spacing w:line="380" w:lineRule="exact"/>
        <w:ind w:firstLine="490"/>
        <w:rPr>
          <w:rFonts w:ascii="宋体"/>
          <w:sz w:val="24"/>
        </w:rPr>
      </w:pPr>
      <w:r>
        <w:rPr>
          <w:rFonts w:hint="eastAsia" w:ascii="宋体" w:hAnsi="宋体"/>
          <w:sz w:val="24"/>
        </w:rPr>
        <w:t>根据招标文件和本项目的中标通知书，发承包双方就此次中标的设备和相关问题，同意按下列条款规定执行。</w:t>
      </w:r>
    </w:p>
    <w:p>
      <w:pPr>
        <w:pStyle w:val="519"/>
        <w:spacing w:line="380" w:lineRule="exact"/>
        <w:ind w:firstLine="490"/>
        <w:rPr>
          <w:rFonts w:ascii="宋体"/>
          <w:color w:val="000000"/>
          <w:sz w:val="24"/>
          <w:u w:val="single"/>
        </w:rPr>
      </w:pPr>
      <w:r>
        <w:rPr>
          <w:rFonts w:hint="eastAsia" w:ascii="宋体" w:hAnsi="宋体"/>
          <w:sz w:val="24"/>
        </w:rPr>
        <w:t>一、合同</w:t>
      </w:r>
      <w:r>
        <w:rPr>
          <w:rFonts w:hint="eastAsia" w:ascii="宋体" w:hAnsi="宋体"/>
          <w:color w:val="000000"/>
          <w:sz w:val="24"/>
        </w:rPr>
        <w:t>内容：生产、</w:t>
      </w:r>
      <w:r>
        <w:rPr>
          <w:rFonts w:hint="eastAsia" w:ascii="??" w:hAnsi="??" w:cs="宋体"/>
          <w:color w:val="000000"/>
          <w:kern w:val="0"/>
          <w:sz w:val="24"/>
        </w:rPr>
        <w:t>运输、指导安装、调试及售后服务。</w:t>
      </w:r>
    </w:p>
    <w:p>
      <w:pPr>
        <w:pStyle w:val="519"/>
        <w:spacing w:line="380" w:lineRule="exact"/>
        <w:ind w:firstLine="490"/>
        <w:rPr>
          <w:rFonts w:ascii="宋体"/>
          <w:color w:val="000000"/>
          <w:sz w:val="24"/>
        </w:rPr>
      </w:pPr>
      <w:r>
        <w:rPr>
          <w:rFonts w:hint="eastAsia" w:ascii="宋体" w:hAnsi="宋体"/>
          <w:color w:val="000000"/>
          <w:sz w:val="24"/>
        </w:rPr>
        <w:t>二、价格及支付：</w:t>
      </w:r>
    </w:p>
    <w:p>
      <w:pPr>
        <w:pStyle w:val="519"/>
        <w:spacing w:line="380" w:lineRule="exact"/>
        <w:ind w:firstLine="490"/>
        <w:rPr>
          <w:rFonts w:ascii="宋体"/>
          <w:color w:val="000000"/>
          <w:sz w:val="24"/>
        </w:rPr>
      </w:pPr>
      <w:r>
        <w:rPr>
          <w:rFonts w:ascii="宋体" w:hAnsi="宋体"/>
          <w:color w:val="000000"/>
          <w:sz w:val="24"/>
        </w:rPr>
        <w:t>1</w:t>
      </w:r>
      <w:r>
        <w:rPr>
          <w:rFonts w:hint="eastAsia" w:ascii="宋体" w:hAnsi="宋体"/>
          <w:color w:val="000000"/>
          <w:sz w:val="24"/>
        </w:rPr>
        <w:t>．按此次中标价格执行，合同金额为元。</w:t>
      </w:r>
    </w:p>
    <w:p>
      <w:pPr>
        <w:pStyle w:val="519"/>
        <w:spacing w:line="380" w:lineRule="exact"/>
        <w:ind w:firstLine="490"/>
        <w:rPr>
          <w:rFonts w:ascii="宋体"/>
          <w:color w:val="000000"/>
          <w:sz w:val="24"/>
        </w:rPr>
      </w:pPr>
      <w:r>
        <w:rPr>
          <w:rFonts w:ascii="宋体" w:hAnsi="宋体"/>
          <w:color w:val="000000"/>
          <w:sz w:val="24"/>
        </w:rPr>
        <w:t>2</w:t>
      </w:r>
      <w:r>
        <w:rPr>
          <w:rFonts w:hint="eastAsia" w:ascii="宋体" w:hAnsi="宋体"/>
          <w:color w:val="000000"/>
          <w:sz w:val="24"/>
        </w:rPr>
        <w:t>、本合同为固定总价合同，投标总价</w:t>
      </w:r>
      <w:r>
        <w:rPr>
          <w:rFonts w:hint="eastAsia" w:ascii="??" w:hAnsi="??" w:cs="宋体"/>
          <w:color w:val="000000"/>
          <w:kern w:val="0"/>
          <w:sz w:val="24"/>
          <w:u w:val="single"/>
        </w:rPr>
        <w:t>已全部考虑了包括所有货物、附件、指导安装、调试、人力、机械、运输、仓储、各种税费(因国家政策性税费调整的，中标价也作相应调整)、劳保、专利技术、质保、政策性文件规定及合同包含的所有风险、责任等各项所有费用。</w:t>
      </w:r>
    </w:p>
    <w:p>
      <w:pPr>
        <w:pStyle w:val="519"/>
        <w:spacing w:line="380" w:lineRule="exact"/>
        <w:ind w:firstLine="490"/>
        <w:rPr>
          <w:rFonts w:hint="eastAsia" w:ascii="宋体" w:hAnsi="宋体"/>
          <w:color w:val="000000"/>
          <w:sz w:val="24"/>
        </w:rPr>
      </w:pPr>
      <w:r>
        <w:rPr>
          <w:rFonts w:ascii="宋体" w:hAnsi="宋体"/>
          <w:color w:val="000000"/>
          <w:sz w:val="24"/>
        </w:rPr>
        <w:t>3</w:t>
      </w:r>
      <w:r>
        <w:rPr>
          <w:rFonts w:hint="eastAsia" w:ascii="宋体" w:hAnsi="宋体"/>
          <w:color w:val="000000"/>
          <w:sz w:val="24"/>
        </w:rPr>
        <w:t>．付款步骤：</w:t>
      </w:r>
    </w:p>
    <w:p>
      <w:pPr>
        <w:spacing w:line="500" w:lineRule="exact"/>
        <w:rPr>
          <w:rFonts w:hint="eastAsia" w:ascii="宋体" w:hAnsi="宋体"/>
          <w:color w:val="000000"/>
          <w:sz w:val="24"/>
        </w:rPr>
      </w:pPr>
      <w:r>
        <w:rPr>
          <w:rFonts w:hint="eastAsia" w:ascii="宋体" w:hAnsi="宋体"/>
          <w:color w:val="000000"/>
          <w:sz w:val="24"/>
        </w:rPr>
        <w:t>（1）设备送抵需方指定的施工现场或设备仓库，安装调试到位验收合格后，供方开具所供货物的全额增值税专用发票，需方在30天内支付发票金额的90%货款；</w:t>
      </w:r>
    </w:p>
    <w:p>
      <w:pPr>
        <w:spacing w:line="500" w:lineRule="exact"/>
        <w:rPr>
          <w:rFonts w:hint="eastAsia" w:ascii="宋体" w:hAnsi="宋体"/>
          <w:color w:val="000000"/>
          <w:sz w:val="24"/>
        </w:rPr>
      </w:pPr>
      <w:r>
        <w:rPr>
          <w:rFonts w:hint="eastAsia" w:ascii="宋体" w:hAnsi="宋体"/>
          <w:color w:val="000000"/>
          <w:sz w:val="24"/>
        </w:rPr>
        <w:t>（2）质保期满，</w:t>
      </w:r>
      <w:r>
        <w:rPr>
          <w:rFonts w:hint="eastAsia" w:ascii="宋体" w:hAnsi="宋体" w:cs="宋体"/>
          <w:kern w:val="0"/>
          <w:sz w:val="24"/>
        </w:rPr>
        <w:t>设备正常运行验收合格，并完成所供货物的审核后</w:t>
      </w:r>
      <w:r>
        <w:rPr>
          <w:rFonts w:hint="eastAsia" w:ascii="宋体" w:hAnsi="宋体"/>
          <w:color w:val="000000"/>
          <w:sz w:val="24"/>
        </w:rPr>
        <w:t>30天内支付所供货物发票金额的10%.</w:t>
      </w:r>
      <w:r>
        <w:rPr>
          <w:rFonts w:hint="eastAsia" w:ascii="宋体" w:hAnsi="宋体" w:cs="宋体"/>
          <w:sz w:val="24"/>
        </w:rPr>
        <w:t>（由于结算等流程设计问题，特殊情况结算会滞后）</w:t>
      </w:r>
    </w:p>
    <w:p>
      <w:pPr>
        <w:pStyle w:val="519"/>
        <w:spacing w:line="380" w:lineRule="exact"/>
        <w:ind w:firstLine="490"/>
        <w:rPr>
          <w:rFonts w:ascii="宋体"/>
          <w:sz w:val="24"/>
        </w:rPr>
      </w:pPr>
      <w:r>
        <w:rPr>
          <w:rFonts w:ascii="宋体" w:hAnsi="宋体"/>
          <w:sz w:val="24"/>
        </w:rPr>
        <w:t>4</w:t>
      </w:r>
      <w:r>
        <w:rPr>
          <w:rFonts w:hint="eastAsia" w:ascii="宋体" w:hAnsi="宋体"/>
          <w:sz w:val="24"/>
        </w:rPr>
        <w:t>．付款方式：银行汇票或转帐支票。</w:t>
      </w:r>
    </w:p>
    <w:p>
      <w:pPr>
        <w:pStyle w:val="519"/>
        <w:spacing w:line="380" w:lineRule="exact"/>
        <w:ind w:firstLine="490"/>
        <w:rPr>
          <w:rFonts w:ascii="宋体"/>
          <w:sz w:val="24"/>
        </w:rPr>
      </w:pPr>
      <w:r>
        <w:rPr>
          <w:rFonts w:ascii="宋体" w:hAnsi="宋体"/>
          <w:sz w:val="24"/>
        </w:rPr>
        <w:t>5</w:t>
      </w:r>
      <w:r>
        <w:rPr>
          <w:rFonts w:hint="eastAsia" w:ascii="宋体" w:hAnsi="宋体"/>
          <w:sz w:val="24"/>
        </w:rPr>
        <w:t>、履约保证金的退还：履约保证金于货物安装完毕验收合格后的三十个工作日内无息退还。</w:t>
      </w:r>
    </w:p>
    <w:p>
      <w:pPr>
        <w:pStyle w:val="519"/>
        <w:spacing w:line="380" w:lineRule="exact"/>
        <w:ind w:firstLine="490"/>
        <w:rPr>
          <w:rFonts w:ascii="宋体"/>
          <w:b/>
          <w:sz w:val="24"/>
        </w:rPr>
      </w:pPr>
      <w:r>
        <w:rPr>
          <w:rFonts w:hint="eastAsia" w:ascii="宋体" w:hAnsi="宋体"/>
          <w:b/>
          <w:sz w:val="24"/>
        </w:rPr>
        <w:t>三、质量保证：</w:t>
      </w:r>
    </w:p>
    <w:p>
      <w:pPr>
        <w:pStyle w:val="519"/>
        <w:spacing w:line="380" w:lineRule="exact"/>
        <w:ind w:firstLine="490"/>
        <w:rPr>
          <w:rFonts w:ascii="宋体"/>
          <w:color w:val="FF0000"/>
          <w:sz w:val="24"/>
        </w:rPr>
      </w:pPr>
      <w:r>
        <w:rPr>
          <w:rFonts w:ascii="宋体" w:hAnsi="宋体"/>
          <w:sz w:val="24"/>
        </w:rPr>
        <w:t>1</w:t>
      </w:r>
      <w:r>
        <w:rPr>
          <w:rFonts w:hint="eastAsia" w:ascii="宋体" w:hAnsi="宋体"/>
          <w:sz w:val="24"/>
        </w:rPr>
        <w:t>、</w:t>
      </w:r>
      <w:r>
        <w:rPr>
          <w:rFonts w:hint="eastAsia" w:ascii="宋体" w:hAnsi="宋体"/>
          <w:color w:val="000000"/>
          <w:sz w:val="24"/>
        </w:rPr>
        <w:t>产品的质量、技术标准按国家有关约定、图纸设计要求、招标文件和投标文件，安装完成后需通过验收。</w:t>
      </w:r>
    </w:p>
    <w:p>
      <w:pPr>
        <w:pStyle w:val="519"/>
        <w:spacing w:line="380" w:lineRule="exact"/>
        <w:ind w:firstLine="490"/>
        <w:rPr>
          <w:rFonts w:ascii="宋体"/>
          <w:sz w:val="24"/>
        </w:rPr>
      </w:pPr>
      <w:r>
        <w:rPr>
          <w:rFonts w:ascii="宋体" w:hAnsi="宋体"/>
          <w:sz w:val="24"/>
        </w:rPr>
        <w:t>2</w:t>
      </w:r>
      <w:r>
        <w:rPr>
          <w:rFonts w:hint="eastAsia" w:ascii="宋体" w:hAnsi="宋体"/>
          <w:sz w:val="24"/>
        </w:rPr>
        <w:t>、乙方应按合同规定的设备性能、质量标准向甲方提供未经使用的符合质量要求的全新设备。</w:t>
      </w:r>
    </w:p>
    <w:p>
      <w:pPr>
        <w:pStyle w:val="519"/>
        <w:spacing w:line="380" w:lineRule="exact"/>
        <w:ind w:firstLine="490"/>
        <w:rPr>
          <w:b/>
          <w:sz w:val="24"/>
        </w:rPr>
      </w:pPr>
      <w:r>
        <w:rPr>
          <w:rFonts w:hint="eastAsia"/>
          <w:b/>
          <w:sz w:val="24"/>
        </w:rPr>
        <w:t>四、质量验收要求</w:t>
      </w:r>
    </w:p>
    <w:p>
      <w:pPr>
        <w:pStyle w:val="519"/>
        <w:spacing w:line="380" w:lineRule="exact"/>
        <w:ind w:firstLine="490"/>
        <w:rPr>
          <w:rFonts w:ascii="宋体"/>
          <w:sz w:val="24"/>
        </w:rPr>
      </w:pPr>
      <w:r>
        <w:rPr>
          <w:rFonts w:ascii="宋体" w:hAnsi="宋体"/>
          <w:sz w:val="24"/>
        </w:rPr>
        <w:t>1</w:t>
      </w:r>
      <w:r>
        <w:rPr>
          <w:rFonts w:hint="eastAsia" w:ascii="宋体" w:hAnsi="宋体"/>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应网站上公示。</w:t>
      </w:r>
    </w:p>
    <w:p>
      <w:pPr>
        <w:pStyle w:val="519"/>
        <w:spacing w:line="380" w:lineRule="exact"/>
        <w:ind w:firstLine="490"/>
        <w:rPr>
          <w:rFonts w:ascii="宋体"/>
          <w:sz w:val="24"/>
        </w:rPr>
      </w:pPr>
      <w:r>
        <w:rPr>
          <w:rFonts w:ascii="宋体" w:hAnsi="宋体"/>
          <w:sz w:val="24"/>
        </w:rPr>
        <w:t>2</w:t>
      </w:r>
      <w:r>
        <w:rPr>
          <w:rFonts w:hint="eastAsia" w:ascii="宋体" w:hAnsi="宋体"/>
          <w:sz w:val="24"/>
        </w:rPr>
        <w:t>、供货前和供货过程中，招标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招标人将终止合同，同时对供方处以扣除履约保证金的违约处罚，并报相应网站公示。</w:t>
      </w:r>
      <w:r>
        <w:rPr>
          <w:rFonts w:ascii="宋体" w:hAnsi="宋体"/>
          <w:sz w:val="24"/>
        </w:rPr>
        <w:t xml:space="preserve"> </w:t>
      </w:r>
    </w:p>
    <w:p>
      <w:pPr>
        <w:pStyle w:val="519"/>
        <w:spacing w:line="380" w:lineRule="exact"/>
        <w:rPr>
          <w:rFonts w:ascii="宋体"/>
          <w:color w:val="000000"/>
          <w:sz w:val="24"/>
        </w:rPr>
      </w:pPr>
      <w:r>
        <w:rPr>
          <w:rFonts w:ascii="宋体" w:hAnsi="宋体"/>
          <w:color w:val="000000"/>
          <w:sz w:val="24"/>
        </w:rPr>
        <w:t xml:space="preserve">    3</w:t>
      </w:r>
      <w:r>
        <w:rPr>
          <w:rFonts w:hint="eastAsia" w:ascii="宋体" w:hAnsi="宋体"/>
          <w:color w:val="000000"/>
          <w:sz w:val="24"/>
        </w:rPr>
        <w:t>、验收时间：</w:t>
      </w:r>
    </w:p>
    <w:p>
      <w:pPr>
        <w:pStyle w:val="347"/>
        <w:spacing w:line="380" w:lineRule="exact"/>
        <w:ind w:firstLine="490"/>
        <w:rPr>
          <w:rFonts w:ascii="宋体" w:eastAsia="宋体"/>
          <w:color w:val="000000"/>
          <w:kern w:val="2"/>
          <w:sz w:val="24"/>
        </w:rPr>
      </w:pPr>
      <w:r>
        <w:rPr>
          <w:rFonts w:hint="eastAsia" w:ascii="宋体" w:hAnsi="宋体"/>
          <w:color w:val="000000"/>
          <w:kern w:val="2"/>
          <w:sz w:val="24"/>
        </w:rPr>
        <w:t>货物到达招标人指定的现场后，供货方应按有关技术规程的规定堆放。所有货物必须提供产品合格证及保单，注明出厂日期。中标方和招标方工作人员双方同时在场情况下，招标方进行验收。验收合格后，双方签署验收单。</w:t>
      </w:r>
    </w:p>
    <w:p>
      <w:pPr>
        <w:pStyle w:val="519"/>
        <w:numPr>
          <w:ilvl w:val="0"/>
          <w:numId w:val="25"/>
        </w:numPr>
        <w:spacing w:line="380" w:lineRule="exact"/>
        <w:ind w:firstLine="490"/>
        <w:rPr>
          <w:rFonts w:ascii="宋体"/>
          <w:color w:val="000000"/>
          <w:sz w:val="24"/>
        </w:rPr>
      </w:pPr>
      <w:r>
        <w:rPr>
          <w:rFonts w:hint="eastAsia" w:ascii="宋体" w:hAnsi="宋体"/>
          <w:color w:val="000000"/>
          <w:sz w:val="24"/>
        </w:rPr>
        <w:t>验收标准：</w:t>
      </w:r>
    </w:p>
    <w:p>
      <w:pPr>
        <w:pStyle w:val="519"/>
        <w:rPr>
          <w:rFonts w:ascii="宋体" w:cs="宋体"/>
          <w:color w:val="000000"/>
          <w:kern w:val="0"/>
          <w:sz w:val="24"/>
        </w:rPr>
      </w:pPr>
      <w:r>
        <w:rPr>
          <w:rFonts w:hint="eastAsia" w:ascii="宋体" w:hAnsi="宋体" w:cs="宋体"/>
          <w:color w:val="000000"/>
          <w:kern w:val="0"/>
          <w:sz w:val="24"/>
        </w:rPr>
        <w:t>符合国家现行有关标准、相关行业规范及招标人要求，由用户单位负责验收。货物送达现场后需方组织相关人员对货物进行到货验收。</w:t>
      </w:r>
    </w:p>
    <w:p>
      <w:pPr>
        <w:pStyle w:val="519"/>
        <w:numPr>
          <w:ilvl w:val="0"/>
          <w:numId w:val="26"/>
        </w:numPr>
        <w:spacing w:line="380" w:lineRule="exact"/>
        <w:ind w:firstLine="490"/>
        <w:rPr>
          <w:b/>
          <w:color w:val="000000"/>
          <w:sz w:val="24"/>
        </w:rPr>
      </w:pPr>
      <w:r>
        <w:rPr>
          <w:rFonts w:hint="eastAsia"/>
          <w:b/>
          <w:color w:val="000000"/>
          <w:sz w:val="24"/>
        </w:rPr>
        <w:t>供货要求：</w:t>
      </w:r>
    </w:p>
    <w:p>
      <w:pPr>
        <w:pStyle w:val="519"/>
        <w:spacing w:line="380" w:lineRule="exact"/>
        <w:ind w:firstLine="490"/>
        <w:rPr>
          <w:rFonts w:hint="eastAsia" w:ascii="宋体" w:hAnsi="宋体" w:cs="宋体"/>
          <w:color w:val="000000"/>
          <w:kern w:val="0"/>
          <w:sz w:val="24"/>
        </w:rPr>
      </w:pPr>
      <w:r>
        <w:rPr>
          <w:rFonts w:hint="eastAsia" w:ascii="宋体" w:hAnsi="宋体" w:cs="宋体"/>
          <w:color w:val="000000"/>
          <w:kern w:val="0"/>
          <w:sz w:val="24"/>
          <w:highlight w:val="yellow"/>
        </w:rPr>
        <w:t>本次招标的设备接到发货通知之日起30日内必须把货物送达需方指定的供货现场。到货时间以施工单位、监理及现场负责人共同签收时间为准。</w:t>
      </w:r>
    </w:p>
    <w:p>
      <w:pPr>
        <w:pStyle w:val="519"/>
        <w:spacing w:line="380" w:lineRule="exact"/>
        <w:ind w:firstLine="490"/>
        <w:rPr>
          <w:b/>
          <w:sz w:val="24"/>
        </w:rPr>
      </w:pPr>
      <w:r>
        <w:rPr>
          <w:rFonts w:hint="eastAsia"/>
          <w:b/>
          <w:sz w:val="24"/>
        </w:rPr>
        <w:t>六、交货条件：</w:t>
      </w:r>
    </w:p>
    <w:p>
      <w:pPr>
        <w:pStyle w:val="519"/>
        <w:spacing w:line="380" w:lineRule="exact"/>
        <w:ind w:firstLine="490"/>
        <w:rPr>
          <w:rFonts w:ascii="宋体"/>
          <w:sz w:val="24"/>
        </w:rPr>
      </w:pPr>
      <w:r>
        <w:rPr>
          <w:rFonts w:ascii="宋体" w:hAnsi="宋体"/>
          <w:sz w:val="24"/>
        </w:rPr>
        <w:t>1</w:t>
      </w:r>
      <w:r>
        <w:rPr>
          <w:rFonts w:hint="eastAsia" w:ascii="宋体" w:hAnsi="宋体"/>
          <w:sz w:val="24"/>
        </w:rPr>
        <w:t>、交货地点：宜兴市内发包人指定的地点</w:t>
      </w:r>
    </w:p>
    <w:p>
      <w:pPr>
        <w:pStyle w:val="519"/>
        <w:tabs>
          <w:tab w:val="left" w:pos="993"/>
        </w:tabs>
        <w:spacing w:line="380" w:lineRule="exact"/>
        <w:ind w:firstLine="490"/>
        <w:rPr>
          <w:rFonts w:ascii="宋体"/>
          <w:sz w:val="24"/>
        </w:rPr>
      </w:pPr>
      <w:r>
        <w:rPr>
          <w:rFonts w:ascii="宋体" w:hAnsi="宋体"/>
          <w:sz w:val="24"/>
        </w:rPr>
        <w:t>2</w:t>
      </w:r>
      <w:r>
        <w:rPr>
          <w:rFonts w:hint="eastAsia" w:ascii="宋体" w:hAnsi="宋体"/>
          <w:sz w:val="24"/>
        </w:rPr>
        <w:t>、设备的外观、包装、运输应按国家规定或部颁标准执行。如因承包人运输不当等原因造成损坏或丢失，应由承包人负责修复或补缺。</w:t>
      </w:r>
    </w:p>
    <w:p>
      <w:pPr>
        <w:pStyle w:val="519"/>
        <w:spacing w:line="380" w:lineRule="exact"/>
        <w:ind w:firstLine="490"/>
        <w:rPr>
          <w:rFonts w:ascii="宋体"/>
          <w:sz w:val="24"/>
        </w:rPr>
      </w:pPr>
      <w:r>
        <w:rPr>
          <w:rFonts w:ascii="宋体" w:hAnsi="宋体"/>
          <w:sz w:val="24"/>
        </w:rPr>
        <w:t>3</w:t>
      </w:r>
      <w:r>
        <w:rPr>
          <w:rFonts w:hint="eastAsia" w:ascii="宋体" w:hAnsi="宋体"/>
          <w:sz w:val="24"/>
        </w:rPr>
        <w:t>、设备交货时，必须带有产品质量检验合格证书、质保单、装箱单、产品安装使用说明书，并保持出厂原有包装。</w:t>
      </w:r>
    </w:p>
    <w:p>
      <w:pPr>
        <w:pStyle w:val="519"/>
        <w:spacing w:line="380" w:lineRule="exact"/>
        <w:ind w:firstLine="490"/>
        <w:rPr>
          <w:rFonts w:ascii="宋体"/>
          <w:sz w:val="24"/>
        </w:rPr>
      </w:pPr>
      <w:r>
        <w:rPr>
          <w:rFonts w:ascii="宋体" w:hAnsi="宋体"/>
          <w:sz w:val="24"/>
        </w:rPr>
        <w:t>4</w:t>
      </w:r>
      <w:r>
        <w:rPr>
          <w:rFonts w:hint="eastAsia" w:ascii="宋体" w:hAnsi="宋体"/>
          <w:sz w:val="24"/>
        </w:rPr>
        <w:t>、运输及到货地点：由承包方负责办理运输，并承担费用直接送到发包方指定地点。</w:t>
      </w:r>
    </w:p>
    <w:p>
      <w:pPr>
        <w:pStyle w:val="519"/>
        <w:spacing w:line="380" w:lineRule="exact"/>
        <w:ind w:firstLine="490"/>
        <w:rPr>
          <w:rFonts w:ascii="宋体"/>
          <w:sz w:val="24"/>
        </w:rPr>
      </w:pPr>
      <w:r>
        <w:rPr>
          <w:rFonts w:ascii="宋体" w:hAnsi="宋体"/>
          <w:sz w:val="24"/>
        </w:rPr>
        <w:t>5</w:t>
      </w:r>
      <w:r>
        <w:rPr>
          <w:rFonts w:hint="eastAsia" w:ascii="宋体" w:hAnsi="宋体"/>
          <w:sz w:val="24"/>
        </w:rPr>
        <w:t>、承包方发货应提前一天用传真和电话通知发包人。</w:t>
      </w:r>
    </w:p>
    <w:p>
      <w:pPr>
        <w:pStyle w:val="519"/>
        <w:spacing w:line="380" w:lineRule="exact"/>
        <w:ind w:firstLine="490"/>
        <w:rPr>
          <w:b/>
          <w:sz w:val="24"/>
        </w:rPr>
      </w:pPr>
      <w:r>
        <w:rPr>
          <w:rFonts w:hint="eastAsia"/>
          <w:b/>
          <w:sz w:val="24"/>
        </w:rPr>
        <w:t>七、安装调试及售后服务：</w:t>
      </w:r>
    </w:p>
    <w:p>
      <w:pPr>
        <w:pStyle w:val="519"/>
        <w:widowControl/>
        <w:jc w:val="left"/>
        <w:rPr>
          <w:rFonts w:ascii="宋体" w:cs="宋体"/>
          <w:kern w:val="0"/>
          <w:sz w:val="24"/>
        </w:rPr>
      </w:pPr>
      <w:r>
        <w:rPr>
          <w:rFonts w:ascii="宋体" w:hAnsi="宋体" w:cs="宋体"/>
          <w:kern w:val="0"/>
          <w:sz w:val="24"/>
        </w:rPr>
        <w:t>1</w:t>
      </w:r>
      <w:r>
        <w:rPr>
          <w:rFonts w:hint="eastAsia" w:ascii="宋体" w:hAnsi="宋体" w:cs="宋体"/>
          <w:kern w:val="0"/>
          <w:sz w:val="24"/>
        </w:rPr>
        <w:t>、承包人负责本次设备的指导安装和调试。在规定保修期内，如出现质量问题，承包人收到发包人函、电话通知后应在</w:t>
      </w:r>
      <w:r>
        <w:rPr>
          <w:rFonts w:ascii="宋体" w:hAnsi="宋体" w:cs="宋体"/>
          <w:kern w:val="0"/>
          <w:sz w:val="24"/>
        </w:rPr>
        <w:t>4</w:t>
      </w:r>
      <w:r>
        <w:rPr>
          <w:rFonts w:hint="eastAsia" w:ascii="宋体" w:hAnsi="宋体" w:cs="宋体"/>
          <w:kern w:val="0"/>
          <w:sz w:val="24"/>
        </w:rPr>
        <w:t>小时内响应并解决问题。</w:t>
      </w:r>
      <w:r>
        <w:rPr>
          <w:rFonts w:ascii="宋体" w:cs="宋体"/>
          <w:kern w:val="0"/>
          <w:sz w:val="24"/>
        </w:rPr>
        <w:br w:type="textWrapping"/>
      </w:r>
      <w:r>
        <w:rPr>
          <w:rFonts w:ascii="宋体" w:hAnsi="宋体" w:cs="宋体"/>
          <w:kern w:val="0"/>
          <w:sz w:val="24"/>
        </w:rPr>
        <w:t>2</w:t>
      </w:r>
      <w:r>
        <w:rPr>
          <w:rFonts w:hint="eastAsia" w:ascii="宋体" w:hAnsi="宋体" w:cs="宋体"/>
          <w:kern w:val="0"/>
          <w:sz w:val="24"/>
        </w:rPr>
        <w:t>、发包人应向承包人现场调试技术人员及维修人员提供方便条件，有关费用由承包人负责。</w:t>
      </w:r>
      <w:r>
        <w:rPr>
          <w:rFonts w:ascii="宋体" w:cs="宋体"/>
          <w:kern w:val="0"/>
          <w:sz w:val="24"/>
        </w:rPr>
        <w:br w:type="textWrapping"/>
      </w:r>
      <w:r>
        <w:rPr>
          <w:rFonts w:ascii="宋体" w:hAnsi="宋体" w:cs="宋体"/>
          <w:kern w:val="0"/>
          <w:sz w:val="24"/>
        </w:rPr>
        <w:t>3</w:t>
      </w:r>
      <w:r>
        <w:rPr>
          <w:rFonts w:hint="eastAsia" w:ascii="宋体" w:hAnsi="宋体" w:cs="宋体"/>
          <w:kern w:val="0"/>
          <w:sz w:val="24"/>
        </w:rPr>
        <w:t>、发包人如邀请承包人提供非质量问题的其它技术服务，其费用另定。</w:t>
      </w:r>
      <w:r>
        <w:rPr>
          <w:rFonts w:ascii="宋体" w:cs="宋体"/>
          <w:kern w:val="0"/>
          <w:sz w:val="24"/>
        </w:rPr>
        <w:br w:type="textWrapping"/>
      </w:r>
      <w:r>
        <w:rPr>
          <w:rFonts w:ascii="宋体" w:hAnsi="宋体" w:cs="宋体"/>
          <w:kern w:val="0"/>
          <w:sz w:val="24"/>
        </w:rPr>
        <w:t>4</w:t>
      </w:r>
      <w:r>
        <w:rPr>
          <w:rFonts w:hint="eastAsia" w:ascii="宋体" w:hAnsi="宋体" w:cs="宋体"/>
          <w:kern w:val="0"/>
          <w:sz w:val="24"/>
        </w:rPr>
        <w:t>、承包人对其供应的设备提供的质保按国家有关规定执行。</w:t>
      </w:r>
      <w:r>
        <w:rPr>
          <w:rFonts w:ascii="宋体" w:cs="宋体"/>
          <w:kern w:val="0"/>
          <w:sz w:val="24"/>
        </w:rPr>
        <w:br w:type="textWrapping"/>
      </w:r>
      <w:r>
        <w:rPr>
          <w:rFonts w:ascii="宋体" w:hAnsi="宋体" w:cs="宋体"/>
          <w:kern w:val="0"/>
          <w:sz w:val="24"/>
        </w:rPr>
        <w:t>5</w:t>
      </w:r>
      <w:r>
        <w:rPr>
          <w:rFonts w:hint="eastAsia" w:ascii="宋体" w:hAnsi="宋体" w:cs="宋体"/>
          <w:kern w:val="0"/>
          <w:sz w:val="24"/>
        </w:rPr>
        <w:t>、本次招标的设备应提供不低于</w:t>
      </w:r>
      <w:r>
        <w:rPr>
          <w:rFonts w:ascii="宋体" w:hAnsi="宋体" w:cs="宋体"/>
          <w:kern w:val="0"/>
          <w:sz w:val="24"/>
        </w:rPr>
        <w:t>2</w:t>
      </w:r>
      <w:r>
        <w:rPr>
          <w:rFonts w:hint="eastAsia" w:ascii="宋体" w:hAnsi="宋体" w:cs="宋体"/>
          <w:kern w:val="0"/>
          <w:sz w:val="24"/>
        </w:rPr>
        <w:t>年的免费质保，免费质保期限一律从设备安装调试验收合格之日起算。</w:t>
      </w:r>
      <w:r>
        <w:rPr>
          <w:rFonts w:ascii="宋体" w:cs="宋体"/>
          <w:kern w:val="0"/>
          <w:sz w:val="24"/>
        </w:rPr>
        <w:br w:type="textWrapping"/>
      </w:r>
      <w:r>
        <w:rPr>
          <w:rFonts w:hint="eastAsia" w:ascii="宋体" w:hAnsi="宋体" w:cs="宋体"/>
          <w:kern w:val="0"/>
          <w:sz w:val="24"/>
        </w:rPr>
        <w:t>①在免费质保期内，提供免除一切费用的售后服务。</w:t>
      </w:r>
      <w:r>
        <w:rPr>
          <w:rFonts w:ascii="宋体" w:cs="宋体"/>
          <w:kern w:val="0"/>
          <w:sz w:val="24"/>
        </w:rPr>
        <w:br w:type="textWrapping"/>
      </w:r>
      <w:r>
        <w:rPr>
          <w:rFonts w:hint="eastAsia" w:ascii="宋体" w:hAnsi="宋体" w:cs="宋体"/>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pPr>
        <w:pStyle w:val="519"/>
        <w:spacing w:line="380" w:lineRule="exact"/>
        <w:ind w:firstLine="490"/>
        <w:rPr>
          <w:rFonts w:ascii="宋体"/>
          <w:color w:val="000000"/>
          <w:sz w:val="24"/>
        </w:rPr>
      </w:pPr>
      <w:r>
        <w:rPr>
          <w:rFonts w:hint="eastAsia" w:ascii="宋体" w:hAnsi="宋体"/>
          <w:color w:val="000000"/>
          <w:sz w:val="24"/>
        </w:rPr>
        <w:t>八、违约责任：</w:t>
      </w:r>
    </w:p>
    <w:p>
      <w:pPr>
        <w:pStyle w:val="518"/>
        <w:spacing w:line="380" w:lineRule="exact"/>
        <w:ind w:firstLine="490"/>
        <w:rPr>
          <w:rFonts w:ascii="??" w:hAnsi="??" w:cs="宋体"/>
          <w:color w:val="0000FF"/>
          <w:kern w:val="0"/>
          <w:sz w:val="24"/>
          <w:u w:val="single"/>
        </w:rPr>
      </w:pPr>
      <w:r>
        <w:rPr>
          <w:rFonts w:hint="eastAsia" w:ascii="??" w:hAnsi="??" w:cs="宋体"/>
          <w:color w:val="0000FF"/>
          <w:kern w:val="0"/>
          <w:sz w:val="24"/>
          <w:u w:val="single"/>
        </w:rPr>
        <w:t>如供方逾期交货，除不可抗力外，供方应向需方就逾期交货部分支付违约金，每逾期供货一天，须扣</w:t>
      </w:r>
      <w:r>
        <w:rPr>
          <w:rFonts w:hint="eastAsia" w:ascii="??" w:hAnsi="??" w:cs="宋体"/>
          <w:color w:val="0000FF"/>
          <w:kern w:val="0"/>
          <w:sz w:val="24"/>
          <w:highlight w:val="yellow"/>
          <w:u w:val="single"/>
        </w:rPr>
        <w:t>200元</w:t>
      </w:r>
      <w:r>
        <w:rPr>
          <w:rFonts w:ascii="??" w:hAnsi="??" w:cs="宋体"/>
          <w:color w:val="0000FF"/>
          <w:kern w:val="0"/>
          <w:sz w:val="24"/>
          <w:u w:val="single"/>
        </w:rPr>
        <w:t>/</w:t>
      </w:r>
      <w:r>
        <w:rPr>
          <w:rFonts w:hint="eastAsia" w:ascii="??" w:hAnsi="??" w:cs="宋体"/>
          <w:color w:val="0000FF"/>
          <w:kern w:val="0"/>
          <w:sz w:val="24"/>
          <w:u w:val="single"/>
        </w:rPr>
        <w:t>台的违约金。</w:t>
      </w:r>
    </w:p>
    <w:p>
      <w:pPr>
        <w:pStyle w:val="518"/>
        <w:spacing w:line="380" w:lineRule="exact"/>
        <w:ind w:firstLine="490"/>
        <w:rPr>
          <w:rFonts w:ascii="??" w:hAnsi="??" w:cs="宋体"/>
          <w:color w:val="0000FF"/>
          <w:kern w:val="0"/>
          <w:sz w:val="24"/>
          <w:u w:val="single"/>
        </w:rPr>
      </w:pPr>
      <w:r>
        <w:rPr>
          <w:rFonts w:hint="eastAsia" w:ascii="??" w:hAnsi="??" w:cs="宋体"/>
          <w:color w:val="0000FF"/>
          <w:kern w:val="0"/>
          <w:sz w:val="24"/>
          <w:u w:val="single"/>
        </w:rPr>
        <w:t>供方逾期交货超过</w:t>
      </w:r>
      <w:r>
        <w:rPr>
          <w:rFonts w:ascii="??" w:hAnsi="??" w:cs="宋体"/>
          <w:color w:val="0000FF"/>
          <w:kern w:val="0"/>
          <w:sz w:val="24"/>
          <w:u w:val="single"/>
        </w:rPr>
        <w:t>15</w:t>
      </w:r>
      <w:r>
        <w:rPr>
          <w:rFonts w:hint="eastAsia" w:ascii="??" w:hAnsi="??" w:cs="宋体"/>
          <w:color w:val="0000FF"/>
          <w:kern w:val="0"/>
          <w:sz w:val="24"/>
          <w:u w:val="single"/>
        </w:rPr>
        <w:t>天的视为供方不履行合同，需方将解除合同，并扣除相应违约金及履约保证金，如给需方造成损失的，还应赔偿相应损失。</w:t>
      </w:r>
    </w:p>
    <w:p>
      <w:pPr>
        <w:pStyle w:val="518"/>
        <w:spacing w:line="380" w:lineRule="exact"/>
        <w:ind w:firstLine="490"/>
        <w:rPr>
          <w:rFonts w:ascii="??" w:hAnsi="??" w:cs="宋体"/>
          <w:color w:val="0000FF"/>
          <w:kern w:val="0"/>
          <w:sz w:val="24"/>
          <w:u w:val="single"/>
        </w:rPr>
      </w:pPr>
      <w:r>
        <w:rPr>
          <w:rFonts w:hint="eastAsia" w:ascii="??" w:hAnsi="??" w:cs="宋体"/>
          <w:color w:val="0000FF"/>
          <w:kern w:val="0"/>
          <w:sz w:val="24"/>
          <w:u w:val="single"/>
        </w:rPr>
        <w:t>如中标供应商不按照采购人要求将合同货物送达采购人指定地点的，每次支付违约金为逾期交货部分总价款的千分之八。情节严重的按违约处理，采购人将终止合同，同时对供方以扣除履约保证金的违约处罚，并报相关网站公示。</w:t>
      </w:r>
    </w:p>
    <w:p>
      <w:pPr>
        <w:pStyle w:val="519"/>
        <w:spacing w:line="380" w:lineRule="exact"/>
        <w:ind w:firstLine="490"/>
        <w:rPr>
          <w:rFonts w:ascii="宋体"/>
          <w:color w:val="000000"/>
          <w:sz w:val="24"/>
        </w:rPr>
      </w:pPr>
      <w:r>
        <w:rPr>
          <w:rFonts w:hint="eastAsia" w:ascii="宋体" w:hAnsi="宋体"/>
          <w:color w:val="000000"/>
          <w:sz w:val="24"/>
        </w:rPr>
        <w:t>九、合同生效及其它：</w:t>
      </w:r>
    </w:p>
    <w:p>
      <w:pPr>
        <w:pStyle w:val="519"/>
        <w:spacing w:line="380" w:lineRule="exact"/>
        <w:ind w:firstLine="490"/>
        <w:rPr>
          <w:rFonts w:ascii="宋体"/>
          <w:color w:val="000000"/>
          <w:sz w:val="24"/>
        </w:rPr>
      </w:pPr>
      <w:r>
        <w:rPr>
          <w:rFonts w:ascii="宋体" w:hAnsi="宋体"/>
          <w:color w:val="000000"/>
          <w:sz w:val="24"/>
        </w:rPr>
        <w:t>1</w:t>
      </w:r>
      <w:r>
        <w:rPr>
          <w:rFonts w:hint="eastAsia" w:ascii="宋体" w:hAnsi="宋体"/>
          <w:color w:val="000000"/>
          <w:sz w:val="24"/>
        </w:rPr>
        <w:t>、供方不履行合同或履行合同不符合约定的，有权随时解除合同，并扣除违约金及履约保证金。如果需方因此造成的实际损失超过约定的违约金，则供方的赔偿额应以需方的实际损失为准。</w:t>
      </w:r>
    </w:p>
    <w:p>
      <w:pPr>
        <w:pStyle w:val="519"/>
        <w:spacing w:line="380" w:lineRule="exact"/>
        <w:ind w:firstLine="490"/>
        <w:rPr>
          <w:rFonts w:ascii="宋体"/>
          <w:color w:val="000000"/>
          <w:sz w:val="24"/>
        </w:rPr>
      </w:pPr>
      <w:r>
        <w:rPr>
          <w:rFonts w:ascii="宋体" w:hAnsi="宋体"/>
          <w:color w:val="000000"/>
          <w:sz w:val="24"/>
        </w:rPr>
        <w:t>2</w:t>
      </w:r>
      <w:r>
        <w:rPr>
          <w:rFonts w:hint="eastAsia" w:ascii="宋体" w:hAnsi="宋体"/>
          <w:color w:val="000000"/>
          <w:sz w:val="24"/>
        </w:rPr>
        <w:t>、合同经供需双方代表签字并加盖公章（或合同章），且见证部门盖章后即生效。</w:t>
      </w:r>
    </w:p>
    <w:p>
      <w:pPr>
        <w:pStyle w:val="519"/>
        <w:spacing w:line="380" w:lineRule="exact"/>
        <w:ind w:firstLine="490"/>
        <w:rPr>
          <w:rFonts w:ascii="宋体"/>
          <w:color w:val="000000"/>
          <w:sz w:val="24"/>
        </w:rPr>
      </w:pPr>
      <w:r>
        <w:rPr>
          <w:rFonts w:ascii="宋体" w:hAnsi="宋体"/>
          <w:color w:val="000000"/>
          <w:sz w:val="24"/>
        </w:rPr>
        <w:t>3</w:t>
      </w:r>
      <w:r>
        <w:rPr>
          <w:rFonts w:hint="eastAsia" w:ascii="宋体" w:hAnsi="宋体"/>
          <w:color w:val="000000"/>
          <w:sz w:val="24"/>
        </w:rPr>
        <w:t>、合同签订后供需双方即直接产生权利与义务的关系，合同执行过程中出现的问题应按照《合同法》的规定办理，在合同履行过程中，双方如有争议，先由发包人协调解决，如协调解决不成，则可向发包人所在地（宜兴）法院起诉。</w:t>
      </w:r>
    </w:p>
    <w:p>
      <w:pPr>
        <w:pStyle w:val="519"/>
        <w:spacing w:line="380" w:lineRule="exact"/>
        <w:ind w:firstLine="490"/>
        <w:rPr>
          <w:rFonts w:ascii="宋体"/>
          <w:color w:val="000000"/>
          <w:sz w:val="24"/>
        </w:rPr>
      </w:pPr>
      <w:r>
        <w:rPr>
          <w:rFonts w:ascii="宋体" w:hAnsi="宋体"/>
          <w:color w:val="000000"/>
          <w:sz w:val="24"/>
        </w:rPr>
        <w:t>4</w:t>
      </w:r>
      <w:r>
        <w:rPr>
          <w:rFonts w:hint="eastAsia" w:ascii="宋体" w:hAnsi="宋体"/>
          <w:color w:val="000000"/>
          <w:sz w:val="24"/>
        </w:rPr>
        <w:t>、合同在执行过程中出现的未尽事宜，在不违背本合同和招标文件的原则下协议解决，协商结果必须报见证方同意后以书面形式盖章记录在案，作为合同的附件，与本合同具有同等效力。</w:t>
      </w:r>
    </w:p>
    <w:p>
      <w:pPr>
        <w:pStyle w:val="519"/>
        <w:spacing w:line="380" w:lineRule="exact"/>
        <w:ind w:firstLine="490"/>
        <w:rPr>
          <w:rFonts w:ascii="宋体"/>
          <w:color w:val="000000"/>
          <w:sz w:val="24"/>
        </w:rPr>
      </w:pPr>
      <w:r>
        <w:rPr>
          <w:rFonts w:ascii="宋体" w:hAnsi="宋体"/>
          <w:color w:val="000000"/>
          <w:sz w:val="24"/>
        </w:rPr>
        <w:t>5</w:t>
      </w:r>
      <w:r>
        <w:rPr>
          <w:rFonts w:hint="eastAsia" w:ascii="宋体" w:hAnsi="宋体"/>
          <w:color w:val="000000"/>
          <w:sz w:val="24"/>
        </w:rPr>
        <w:t>、投标单位投标前应自行勘查安装和使用现场，充分考虑完成本项目的一切费用，在结算时以投标报价为准，不作调整。</w:t>
      </w:r>
    </w:p>
    <w:p>
      <w:pPr>
        <w:pStyle w:val="519"/>
        <w:spacing w:line="380" w:lineRule="exact"/>
        <w:ind w:firstLine="490"/>
        <w:rPr>
          <w:rFonts w:ascii="??" w:hAnsi="??" w:cs="宋体"/>
          <w:color w:val="000000"/>
          <w:kern w:val="0"/>
          <w:sz w:val="24"/>
        </w:rPr>
      </w:pPr>
      <w:r>
        <w:rPr>
          <w:rFonts w:ascii="??" w:hAnsi="??" w:cs="宋体"/>
          <w:color w:val="000000"/>
          <w:kern w:val="0"/>
          <w:sz w:val="24"/>
        </w:rPr>
        <w:t>6</w:t>
      </w:r>
      <w:r>
        <w:rPr>
          <w:rFonts w:hint="eastAsia" w:ascii="??" w:hAnsi="??" w:cs="宋体"/>
          <w:color w:val="000000"/>
          <w:kern w:val="0"/>
          <w:sz w:val="24"/>
        </w:rPr>
        <w:t>、供货期内如遇产品平滑（自然）升级，供应商应提供平滑升级商品不补差价（招标文件中有特殊要求的除外）</w:t>
      </w:r>
    </w:p>
    <w:p>
      <w:pPr>
        <w:pStyle w:val="519"/>
        <w:spacing w:line="380" w:lineRule="exact"/>
        <w:ind w:firstLine="490"/>
        <w:rPr>
          <w:rFonts w:ascii="??" w:hAnsi="??" w:cs="宋体"/>
          <w:color w:val="000000"/>
          <w:kern w:val="0"/>
          <w:sz w:val="24"/>
        </w:rPr>
      </w:pPr>
      <w:r>
        <w:rPr>
          <w:rFonts w:ascii="宋体" w:hAnsi="宋体" w:cs="宋体"/>
          <w:color w:val="000000"/>
          <w:kern w:val="0"/>
          <w:sz w:val="24"/>
        </w:rPr>
        <w:t>7</w:t>
      </w:r>
      <w:r>
        <w:rPr>
          <w:rFonts w:hint="eastAsia" w:ascii="宋体" w:hAnsi="宋体" w:cs="宋体"/>
          <w:color w:val="000000"/>
          <w:kern w:val="0"/>
          <w:sz w:val="24"/>
        </w:rPr>
        <w:t>、标后履约管理行为参照</w:t>
      </w:r>
      <w:r>
        <w:rPr>
          <w:rFonts w:hint="eastAsia" w:ascii="宋体" w:cs="宋体"/>
          <w:color w:val="000000"/>
          <w:kern w:val="0"/>
          <w:sz w:val="24"/>
        </w:rPr>
        <w:t>“</w:t>
      </w:r>
      <w:r>
        <w:rPr>
          <w:rFonts w:hint="eastAsia" w:ascii="宋体" w:hAnsi="宋体" w:cs="宋体"/>
          <w:color w:val="000000"/>
          <w:kern w:val="0"/>
          <w:sz w:val="24"/>
          <w:highlight w:val="yellow"/>
        </w:rPr>
        <w:t>宜招管发（</w:t>
      </w:r>
      <w:r>
        <w:rPr>
          <w:rFonts w:ascii="宋体" w:hAnsi="宋体" w:cs="宋体"/>
          <w:color w:val="000000"/>
          <w:kern w:val="0"/>
          <w:sz w:val="24"/>
          <w:highlight w:val="yellow"/>
        </w:rPr>
        <w:t>2018</w:t>
      </w:r>
      <w:r>
        <w:rPr>
          <w:rFonts w:hint="eastAsia" w:ascii="宋体" w:hAnsi="宋体" w:cs="宋体"/>
          <w:color w:val="000000"/>
          <w:kern w:val="0"/>
          <w:sz w:val="24"/>
          <w:highlight w:val="yellow"/>
        </w:rPr>
        <w:t>）</w:t>
      </w:r>
      <w:r>
        <w:rPr>
          <w:rFonts w:ascii="宋体" w:hAnsi="宋体" w:cs="宋体"/>
          <w:color w:val="000000"/>
          <w:kern w:val="0"/>
          <w:sz w:val="24"/>
          <w:highlight w:val="yellow"/>
        </w:rPr>
        <w:t>47</w:t>
      </w:r>
      <w:r>
        <w:rPr>
          <w:rFonts w:hint="eastAsia" w:ascii="宋体" w:hAnsi="宋体" w:cs="宋体"/>
          <w:color w:val="000000"/>
          <w:kern w:val="0"/>
          <w:sz w:val="24"/>
          <w:highlight w:val="yellow"/>
        </w:rPr>
        <w:t>号文</w:t>
      </w:r>
      <w:r>
        <w:rPr>
          <w:rFonts w:hint="eastAsia" w:ascii="宋体" w:cs="宋体"/>
          <w:color w:val="000000"/>
          <w:kern w:val="0"/>
          <w:sz w:val="24"/>
        </w:rPr>
        <w:t>”</w:t>
      </w:r>
      <w:r>
        <w:rPr>
          <w:rFonts w:hint="eastAsia" w:ascii="宋体" w:hAnsi="宋体" w:cs="宋体"/>
          <w:color w:val="000000"/>
          <w:kern w:val="0"/>
          <w:sz w:val="24"/>
        </w:rPr>
        <w:t>。</w:t>
      </w:r>
    </w:p>
    <w:p>
      <w:pPr>
        <w:pStyle w:val="519"/>
        <w:ind w:firstLine="480" w:firstLineChars="200"/>
        <w:rPr>
          <w:rFonts w:ascii="宋体"/>
          <w:color w:val="000000"/>
          <w:sz w:val="24"/>
        </w:rPr>
      </w:pPr>
      <w:r>
        <w:rPr>
          <w:rFonts w:ascii="宋体" w:hAnsi="宋体"/>
          <w:color w:val="000000"/>
          <w:sz w:val="24"/>
        </w:rPr>
        <w:t>8</w:t>
      </w:r>
      <w:r>
        <w:rPr>
          <w:rFonts w:hint="eastAsia" w:ascii="宋体" w:hAnsi="宋体"/>
          <w:color w:val="000000"/>
          <w:sz w:val="24"/>
        </w:rPr>
        <w:t>、其它未尽事宜，合同双方签定附属协议。</w:t>
      </w:r>
    </w:p>
    <w:p>
      <w:pPr>
        <w:spacing w:line="360" w:lineRule="auto"/>
        <w:jc w:val="left"/>
        <w:rPr>
          <w:rFonts w:hint="eastAsia" w:ascii="黑体" w:hAnsi="黑体" w:eastAsia="黑体"/>
          <w:sz w:val="28"/>
        </w:rPr>
      </w:pPr>
      <w:r>
        <w:rPr>
          <w:rFonts w:ascii="宋体" w:hAnsi="宋体"/>
          <w:color w:val="000000"/>
          <w:sz w:val="24"/>
        </w:rPr>
        <w:t>9</w:t>
      </w:r>
      <w:r>
        <w:rPr>
          <w:rFonts w:hint="eastAsia" w:ascii="宋体" w:hAnsi="宋体"/>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pPr>
        <w:spacing w:line="360" w:lineRule="auto"/>
        <w:jc w:val="center"/>
      </w:pPr>
      <w:r>
        <w:t xml:space="preserve"> </w:t>
      </w: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pPr>
    </w:p>
    <w:p>
      <w:pPr>
        <w:spacing w:line="360" w:lineRule="auto"/>
        <w:jc w:val="center"/>
        <w:outlineLvl w:val="0"/>
        <w:rPr>
          <w:rFonts w:ascii="黑体" w:hAnsi="黑体" w:eastAsia="黑体"/>
          <w:sz w:val="28"/>
        </w:rPr>
      </w:pPr>
      <w:bookmarkStart w:id="9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91" w:name="_Toc29240"/>
      <w:r>
        <w:rPr>
          <w:rFonts w:hint="eastAsia" w:ascii="宋体" w:hAnsi="宋体"/>
          <w:b/>
          <w:sz w:val="120"/>
          <w:szCs w:val="120"/>
        </w:rPr>
        <w:t>投标文件</w:t>
      </w:r>
      <w:bookmarkEnd w:id="91"/>
    </w:p>
    <w:p>
      <w:pPr>
        <w:jc w:val="center"/>
        <w:rPr>
          <w:rFonts w:ascii="宋体" w:hAnsi="宋体"/>
          <w:b/>
          <w:sz w:val="32"/>
          <w:szCs w:val="32"/>
        </w:rPr>
      </w:pPr>
      <w:bookmarkStart w:id="92" w:name="_Toc2400"/>
      <w:r>
        <w:rPr>
          <w:rFonts w:hint="eastAsia" w:ascii="宋体" w:hAnsi="宋体"/>
          <w:b/>
          <w:sz w:val="32"/>
          <w:szCs w:val="32"/>
        </w:rPr>
        <w:t>项目编号：</w:t>
      </w:r>
      <w:bookmarkEnd w:id="92"/>
      <w:r>
        <w:t>YXGYJT202110011</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93" w:name="_Toc10010"/>
      <w:r>
        <w:rPr>
          <w:rFonts w:hint="eastAsia" w:ascii="宋体" w:hAnsi="宋体"/>
          <w:b/>
          <w:sz w:val="32"/>
          <w:szCs w:val="32"/>
        </w:rPr>
        <w:t>项目名称：</w:t>
      </w:r>
      <w:bookmarkEnd w:id="93"/>
      <w:bookmarkStart w:id="94" w:name="_Toc8670"/>
      <w:r>
        <w:rPr>
          <w:rFonts w:hint="eastAsia" w:ascii="宋体" w:hAnsi="宋体"/>
          <w:b/>
          <w:sz w:val="32"/>
          <w:szCs w:val="32"/>
          <w:u w:val="single"/>
        </w:rPr>
        <w:t>宜兴水务集团有限公司移动式发电机组采购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94"/>
    </w:p>
    <w:p>
      <w:pPr>
        <w:rPr>
          <w:rFonts w:ascii="宋体" w:hAnsi="宋体"/>
        </w:rPr>
      </w:pPr>
      <w:bookmarkStart w:id="9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9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96" w:name="_Toc1179"/>
      <w:r>
        <w:rPr>
          <w:rFonts w:hint="eastAsia" w:ascii="宋体" w:hAnsi="宋体"/>
          <w:b/>
          <w:sz w:val="32"/>
          <w:szCs w:val="32"/>
        </w:rPr>
        <w:t>日期： 年 月 日</w:t>
      </w:r>
      <w:bookmarkEnd w:id="96"/>
    </w:p>
    <w:p>
      <w:pPr>
        <w:rPr>
          <w:rFonts w:ascii="宋体"/>
          <w:b/>
          <w:bCs/>
          <w:sz w:val="24"/>
          <w:szCs w:val="24"/>
        </w:rPr>
      </w:pPr>
      <w:bookmarkStart w:id="97" w:name="_Toc24602"/>
      <w:r>
        <w:rPr>
          <w:rFonts w:hint="eastAsia" w:ascii="黑体" w:hAnsi="宋体" w:eastAsia="黑体"/>
          <w:bCs/>
          <w:sz w:val="24"/>
          <w:szCs w:val="24"/>
        </w:rPr>
        <w:br w:type="page"/>
      </w:r>
      <w:bookmarkStart w:id="98" w:name="OLE_LINK24"/>
      <w:r>
        <w:rPr>
          <w:rFonts w:hint="eastAsia" w:ascii="黑体" w:hAnsi="宋体" w:eastAsia="黑体"/>
          <w:bCs/>
          <w:sz w:val="28"/>
          <w:szCs w:val="28"/>
        </w:rPr>
        <w:t>（一）投标函（格式）：</w:t>
      </w:r>
    </w:p>
    <w:bookmarkEnd w:id="98"/>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9" w:name="OLE_LINK185"/>
      <w:r>
        <w:rPr>
          <w:rFonts w:hint="eastAsia" w:ascii="宋体" w:hAnsi="宋体"/>
          <w:bCs/>
          <w:sz w:val="24"/>
          <w:lang w:val="zh-CN"/>
        </w:rPr>
        <w:t xml:space="preserve">    致</w:t>
      </w:r>
      <w:bookmarkEnd w:id="99"/>
      <w:r>
        <w:rPr>
          <w:rFonts w:hint="eastAsia" w:ascii="宋体" w:hAnsi="宋体"/>
          <w:bCs/>
          <w:sz w:val="24"/>
          <w:lang w:val="zh-CN"/>
        </w:rPr>
        <w:t>宜兴水务集团有限公司：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w:t>
      </w:r>
      <w:r>
        <w:rPr>
          <w:rFonts w:hint="eastAsia" w:ascii="宋体" w:hAnsi="宋体"/>
          <w:bCs/>
          <w:sz w:val="24"/>
          <w:szCs w:val="22"/>
          <w:u w:val="single"/>
          <w:lang w:val="zh-CN"/>
        </w:rPr>
        <w:t>移动式发电机组采购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7"/>
        </w:numPr>
        <w:spacing w:line="276" w:lineRule="auto"/>
        <w:ind w:firstLine="480" w:firstLineChars="200"/>
        <w:rPr>
          <w:rFonts w:ascii="宋体" w:hAnsi="宋体"/>
          <w:bCs/>
          <w:sz w:val="24"/>
          <w:lang w:val="zh-CN"/>
        </w:rPr>
      </w:pPr>
      <w:bookmarkStart w:id="10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0"/>
    <w:p>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101" w:name="OLE_LINK30"/>
      <w:bookmarkStart w:id="102"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103" w:name="OLE_LINK28"/>
      <w:r>
        <w:rPr>
          <w:rFonts w:hint="eastAsia" w:ascii="宋体" w:hAnsi="宋体"/>
          <w:bCs/>
          <w:sz w:val="24"/>
          <w:lang w:val="zh-CN"/>
        </w:rPr>
        <w:t>投标人公章</w:t>
      </w:r>
      <w:bookmarkEnd w:id="103"/>
      <w:r>
        <w:rPr>
          <w:rFonts w:hint="eastAsia" w:ascii="宋体" w:hAnsi="宋体"/>
          <w:bCs/>
          <w:sz w:val="24"/>
          <w:lang w:val="zh-CN"/>
        </w:rPr>
        <w:t>：</w:t>
      </w:r>
    </w:p>
    <w:bookmarkEnd w:id="101"/>
    <w:bookmarkEnd w:id="102"/>
    <w:p>
      <w:pPr>
        <w:spacing w:line="480" w:lineRule="exact"/>
        <w:rPr>
          <w:rFonts w:ascii="黑体" w:hAnsi="宋体" w:eastAsia="黑体"/>
          <w:bCs/>
          <w:sz w:val="28"/>
          <w:szCs w:val="28"/>
        </w:rPr>
      </w:pPr>
      <w:bookmarkStart w:id="104" w:name="OLE_LINK146"/>
      <w:r>
        <w:rPr>
          <w:rFonts w:ascii="黑体" w:hAnsi="宋体" w:eastAsia="黑体"/>
          <w:bCs/>
          <w:sz w:val="24"/>
          <w:szCs w:val="24"/>
        </w:rPr>
        <w:br w:type="page"/>
      </w:r>
      <w:r>
        <w:rPr>
          <w:rFonts w:hint="eastAsia" w:ascii="黑体" w:hAnsi="宋体" w:eastAsia="黑体"/>
          <w:bCs/>
          <w:sz w:val="28"/>
          <w:szCs w:val="28"/>
        </w:rPr>
        <w:t>（二）报价文件：</w:t>
      </w:r>
      <w:bookmarkEnd w:id="104"/>
    </w:p>
    <w:bookmarkEnd w:id="97"/>
    <w:p>
      <w:pPr>
        <w:spacing w:before="156" w:beforeLines="50" w:after="156" w:afterLines="50"/>
        <w:jc w:val="center"/>
        <w:rPr>
          <w:rFonts w:hint="eastAsia" w:ascii="黑体" w:eastAsia="黑体"/>
          <w:bCs/>
          <w:sz w:val="24"/>
          <w:szCs w:val="24"/>
        </w:rPr>
      </w:pPr>
      <w:bookmarkStart w:id="105" w:name="_Toc32423"/>
      <w:bookmarkStart w:id="106" w:name="OLE_LINK4"/>
      <w:bookmarkStart w:id="107" w:name="OLE_LINK32"/>
      <w:r>
        <w:rPr>
          <w:rFonts w:hint="eastAsia" w:ascii="黑体" w:eastAsia="黑体"/>
          <w:bCs/>
          <w:sz w:val="24"/>
          <w:szCs w:val="24"/>
        </w:rPr>
        <w:t>开标一览表</w:t>
      </w:r>
      <w:bookmarkEnd w:id="105"/>
      <w:bookmarkEnd w:id="106"/>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设备名称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规格</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62"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vMerge w:val="restart"/>
            <w:tcBorders>
              <w:top w:val="single" w:color="auto" w:sz="4" w:space="0"/>
              <w:left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sz w:val="24"/>
              </w:rPr>
              <w:t>移动式柴油发电机组</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50kw</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4"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2</w:t>
            </w:r>
          </w:p>
        </w:tc>
        <w:tc>
          <w:tcPr>
            <w:tcW w:w="2531" w:type="dxa"/>
            <w:vMerge w:val="continue"/>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160kw，6缸，排气量8.3L</w:t>
            </w:r>
          </w:p>
        </w:tc>
        <w:tc>
          <w:tcPr>
            <w:tcW w:w="2838" w:type="dxa"/>
            <w:tcBorders>
              <w:top w:val="single" w:color="auto" w:sz="4" w:space="0"/>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9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3</w:t>
            </w:r>
          </w:p>
        </w:tc>
        <w:tc>
          <w:tcPr>
            <w:tcW w:w="2531" w:type="dxa"/>
            <w:vMerge w:val="continue"/>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250kw，6缸，排气量14L</w:t>
            </w:r>
          </w:p>
        </w:tc>
        <w:tc>
          <w:tcPr>
            <w:tcW w:w="2838" w:type="dxa"/>
            <w:tcBorders>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7" w:hRule="atLeast"/>
          <w:jc w:val="center"/>
        </w:trPr>
        <w:tc>
          <w:tcPr>
            <w:tcW w:w="498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合计</w:t>
            </w:r>
          </w:p>
        </w:tc>
        <w:tc>
          <w:tcPr>
            <w:tcW w:w="494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bl>
    <w:p>
      <w:pPr>
        <w:spacing w:before="156" w:beforeLines="50" w:after="156" w:afterLines="50"/>
        <w:rPr>
          <w:rFonts w:hint="eastAsia" w:ascii="黑体" w:eastAsia="黑体"/>
          <w:bCs/>
          <w:sz w:val="24"/>
          <w:szCs w:val="24"/>
        </w:rPr>
      </w:pPr>
    </w:p>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107"/>
      <w:bookmarkStart w:id="108" w:name="OLE_LINK147"/>
    </w:p>
    <w:bookmarkEnd w:id="108"/>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8"/>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8"/>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9" w:name="OLE_LINK15"/>
      <w:r>
        <w:rPr>
          <w:rFonts w:hint="eastAsia" w:ascii="宋体" w:hAnsi="宋体"/>
          <w:szCs w:val="21"/>
          <w:lang w:val="zh-CN"/>
        </w:rPr>
        <w:t>开标一览表</w:t>
      </w:r>
      <w:bookmarkEnd w:id="109"/>
      <w:r>
        <w:rPr>
          <w:rFonts w:hint="eastAsia" w:ascii="宋体" w:hAnsi="宋体"/>
          <w:szCs w:val="21"/>
          <w:lang w:val="zh-CN"/>
        </w:rPr>
        <w:t>》中的全部货物或服务进行投标，只投其中部分货物或服务者，投标无效；</w:t>
      </w:r>
    </w:p>
    <w:p>
      <w:pPr>
        <w:numPr>
          <w:ilvl w:val="0"/>
          <w:numId w:val="28"/>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8"/>
        </w:numPr>
        <w:jc w:val="left"/>
        <w:rPr>
          <w:rFonts w:hint="eastAsia"/>
        </w:rPr>
      </w:pPr>
      <w:r>
        <w:rPr>
          <w:rFonts w:hint="eastAsia"/>
        </w:rPr>
        <w:t>招标文件中所列数量为工程的规划设计数量，仅作招标参考，</w:t>
      </w:r>
      <w:r>
        <w:rPr>
          <w:rFonts w:hint="eastAsia" w:hAnsi="宋体" w:cs="宋体"/>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jc w:val="left"/>
        <w:rPr>
          <w:rFonts w:hint="eastAsia" w:ascii="宋体" w:hAnsi="宋体"/>
          <w:szCs w:val="21"/>
          <w:lang w:val="zh-CN"/>
        </w:rPr>
      </w:pPr>
    </w:p>
    <w:p>
      <w:pPr>
        <w:rPr>
          <w:rFonts w:ascii="黑体" w:hAnsi="宋体" w:eastAsia="黑体"/>
          <w:bCs/>
          <w:sz w:val="28"/>
          <w:szCs w:val="28"/>
        </w:rPr>
      </w:pPr>
      <w:bookmarkStart w:id="110" w:name="OLE_LINK151"/>
      <w:bookmarkStart w:id="111" w:name="_Toc8000"/>
      <w:r>
        <w:rPr>
          <w:rFonts w:hint="eastAsia" w:ascii="黑体" w:hAnsi="宋体" w:eastAsia="黑体"/>
          <w:bCs/>
          <w:sz w:val="28"/>
          <w:szCs w:val="28"/>
        </w:rPr>
        <w:t>（三）资格证明文件</w:t>
      </w:r>
      <w:bookmarkEnd w:id="11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1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YXGYJT202110011</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t>YXGYJT202110011</w:t>
      </w:r>
      <w:r>
        <w:rPr>
          <w:rFonts w:hint="eastAsia" w:ascii="宋体"/>
          <w:bCs/>
          <w:color w:val="FF0000"/>
          <w:sz w:val="24"/>
          <w:szCs w:val="24"/>
        </w:rPr>
        <w:t xml:space="preserve">  </w:t>
      </w:r>
      <w:r>
        <w:rPr>
          <w:rFonts w:hint="eastAsia" w:ascii="宋体" w:hAnsi="宋体"/>
          <w:sz w:val="24"/>
          <w:szCs w:val="21"/>
        </w:rPr>
        <w:t xml:space="preserve">   </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YXGYJT202110011</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9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YXGYJT202110011</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left="506"/>
        <w:rPr>
          <w:rFonts w:ascii="宋体" w:hAnsi="宋体"/>
          <w:bCs/>
          <w:sz w:val="24"/>
          <w:szCs w:val="24"/>
          <w:lang w:val="zh-CN"/>
        </w:rPr>
      </w:pPr>
      <w:r>
        <w:rPr>
          <w:rFonts w:hint="eastAsia" w:ascii="宋体" w:hAnsi="宋体"/>
          <w:bCs/>
          <w:sz w:val="24"/>
          <w:szCs w:val="24"/>
          <w:lang w:val="zh-CN"/>
        </w:rPr>
        <w:t>①关于资格的声明函</w:t>
      </w:r>
      <w:r>
        <w:rPr>
          <w:rFonts w:hint="eastAsia" w:ascii="宋体" w:hAnsi="宋体"/>
          <w:bCs/>
          <w:sz w:val="24"/>
          <w:szCs w:val="24"/>
        </w:rPr>
        <w:t>（附法定代表人身份证复印件（正反两面））；</w:t>
      </w:r>
    </w:p>
    <w:p>
      <w:pPr>
        <w:tabs>
          <w:tab w:val="left" w:pos="0"/>
          <w:tab w:val="left" w:pos="255"/>
        </w:tabs>
        <w:spacing w:line="360" w:lineRule="auto"/>
        <w:ind w:left="506"/>
        <w:rPr>
          <w:rFonts w:ascii="宋体" w:hAnsi="宋体"/>
          <w:bCs/>
          <w:sz w:val="24"/>
          <w:szCs w:val="24"/>
          <w:lang w:val="zh-CN"/>
        </w:rPr>
      </w:pPr>
      <w:r>
        <w:rPr>
          <w:rFonts w:hint="eastAsia" w:ascii="宋体" w:hAnsi="宋体"/>
          <w:bCs/>
          <w:sz w:val="24"/>
          <w:szCs w:val="24"/>
        </w:rPr>
        <w:t>②投标人法定代表人授权委托书原件及被授权代表的身份证复印件（法定代表人亲自参加的除外）；</w:t>
      </w:r>
    </w:p>
    <w:p>
      <w:pPr>
        <w:tabs>
          <w:tab w:val="left" w:pos="0"/>
          <w:tab w:val="left" w:pos="255"/>
        </w:tabs>
        <w:spacing w:line="360" w:lineRule="auto"/>
        <w:ind w:left="506"/>
        <w:rPr>
          <w:rFonts w:ascii="宋体" w:hAnsi="宋体"/>
          <w:bCs/>
          <w:sz w:val="24"/>
          <w:szCs w:val="24"/>
          <w:lang w:val="zh-CN"/>
        </w:rPr>
      </w:pPr>
      <w:r>
        <w:rPr>
          <w:rFonts w:hint="eastAsia" w:ascii="宋体" w:hAnsi="宋体"/>
          <w:bCs/>
          <w:sz w:val="24"/>
          <w:szCs w:val="24"/>
          <w:lang w:val="zh-CN"/>
        </w:rPr>
        <w:t>③投标人具有独立承担民事责任能力的供应商营业执照或法人（登记）证书；</w:t>
      </w:r>
    </w:p>
    <w:p>
      <w:pPr>
        <w:tabs>
          <w:tab w:val="left" w:pos="420"/>
          <w:tab w:val="left" w:pos="945"/>
          <w:tab w:val="left" w:pos="1155"/>
        </w:tabs>
        <w:spacing w:line="360" w:lineRule="auto"/>
        <w:ind w:left="506"/>
        <w:rPr>
          <w:rFonts w:ascii="宋体" w:hAnsi="宋体"/>
          <w:sz w:val="24"/>
          <w:szCs w:val="24"/>
        </w:rPr>
      </w:pPr>
      <w:r>
        <w:rPr>
          <w:rFonts w:hint="eastAsia" w:ascii="宋体" w:hAnsi="宋体"/>
          <w:sz w:val="24"/>
          <w:szCs w:val="24"/>
        </w:rPr>
        <w:t>④投标人依法缴纳近十二个月中任意一个月份税收的相关材料（提供相关主管部门证明或银行代扣证明）；</w:t>
      </w:r>
    </w:p>
    <w:p>
      <w:pPr>
        <w:tabs>
          <w:tab w:val="left" w:pos="420"/>
          <w:tab w:val="left" w:pos="945"/>
          <w:tab w:val="left" w:pos="1155"/>
        </w:tabs>
        <w:spacing w:line="360" w:lineRule="auto"/>
        <w:ind w:left="506"/>
        <w:rPr>
          <w:rFonts w:hint="eastAsia" w:ascii="宋体" w:hAnsi="宋体" w:cs="宋体"/>
          <w:sz w:val="24"/>
          <w:szCs w:val="24"/>
        </w:rPr>
      </w:pPr>
      <w:r>
        <w:rPr>
          <w:rFonts w:hint="eastAsia" w:ascii="宋体" w:hAnsi="宋体"/>
          <w:sz w:val="24"/>
          <w:szCs w:val="24"/>
        </w:rPr>
        <w:t>⑤投标人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w:t>
      </w:r>
    </w:p>
    <w:p>
      <w:pPr>
        <w:pStyle w:val="2"/>
        <w:ind w:firstLine="480" w:firstLineChars="200"/>
        <w:rPr>
          <w:rFonts w:hint="eastAsia" w:ascii="宋体" w:hAnsi="宋体"/>
          <w:color w:val="000000"/>
          <w:lang w:eastAsia="zh-CN"/>
        </w:rPr>
      </w:pPr>
      <w:r>
        <w:rPr>
          <w:rFonts w:hint="eastAsia"/>
          <w:sz w:val="24"/>
          <w:szCs w:val="24"/>
          <w:lang w:val="en-US" w:eastAsia="zh-CN"/>
        </w:rPr>
        <w:t>⑥投标人</w:t>
      </w:r>
      <w:r>
        <w:rPr>
          <w:rFonts w:hint="eastAsia" w:ascii="宋体" w:hAnsi="宋体"/>
          <w:color w:val="000000"/>
          <w:sz w:val="24"/>
          <w:szCs w:val="24"/>
        </w:rPr>
        <w:t>ISO9001 质量管理体系认证、ISO14001 环境管理体系认证、</w:t>
      </w:r>
      <w:r>
        <w:rPr>
          <w:rFonts w:ascii="宋体" w:hAnsi="宋体"/>
          <w:color w:val="000000"/>
          <w:sz w:val="24"/>
          <w:szCs w:val="24"/>
        </w:rPr>
        <w:t>ISO45001</w:t>
      </w:r>
      <w:r>
        <w:rPr>
          <w:rFonts w:hint="eastAsia" w:ascii="宋体" w:hAnsi="宋体"/>
          <w:color w:val="000000"/>
          <w:sz w:val="24"/>
          <w:szCs w:val="24"/>
        </w:rPr>
        <w:t>职业健康安全管理体系认证证书</w:t>
      </w:r>
      <w:r>
        <w:rPr>
          <w:rFonts w:hint="eastAsia" w:ascii="宋体" w:hAnsi="宋体"/>
          <w:color w:val="000000"/>
        </w:rPr>
        <w:t>（清晰扫描件）</w:t>
      </w:r>
    </w:p>
    <w:p>
      <w:pPr>
        <w:pStyle w:val="2"/>
        <w:ind w:firstLine="525" w:firstLineChars="250"/>
        <w:rPr>
          <w:rFonts w:hint="eastAsia"/>
          <w:sz w:val="24"/>
          <w:szCs w:val="24"/>
          <w:lang w:val="en-US" w:eastAsia="zh-CN"/>
        </w:rPr>
      </w:pPr>
      <w:r>
        <w:rPr>
          <w:rFonts w:hint="eastAsia" w:ascii="宋体" w:hAnsi="宋体"/>
          <w:color w:val="000000"/>
          <w:lang w:eastAsia="zh-CN"/>
        </w:rPr>
        <w:t>⑦</w:t>
      </w:r>
      <w:r>
        <w:rPr>
          <w:rFonts w:hint="eastAsia"/>
          <w:sz w:val="24"/>
          <w:szCs w:val="24"/>
        </w:rPr>
        <w:t>投标产品清晰彩照、产品参数说明书等相关资料</w:t>
      </w:r>
    </w:p>
    <w:p>
      <w:pPr>
        <w:pStyle w:val="2"/>
        <w:ind w:firstLine="480" w:firstLineChars="200"/>
        <w:rPr>
          <w:rFonts w:hint="eastAsia"/>
          <w:sz w:val="24"/>
          <w:szCs w:val="24"/>
          <w:lang w:val="en-US" w:eastAsia="zh-CN"/>
        </w:rPr>
      </w:pPr>
    </w:p>
    <w:p>
      <w:pPr>
        <w:pStyle w:val="2"/>
        <w:ind w:firstLine="240"/>
        <w:rPr>
          <w:rFonts w:ascii="宋体" w:hAnsi="宋体"/>
          <w:sz w:val="24"/>
          <w:szCs w:val="22"/>
          <w:lang w:val="en-US"/>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210"/>
        <w:rPr>
          <w:rFonts w:hint="eastAsia"/>
          <w:lang w:val="zh-CN" w:eastAsia="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210"/>
        <w:rPr>
          <w:rFonts w:hint="eastAsia"/>
          <w:lang w:val="zh-CN" w:eastAsia="zh-CN"/>
        </w:rPr>
      </w:pPr>
    </w:p>
    <w:p>
      <w:pPr>
        <w:rPr>
          <w:rFonts w:hint="eastAsia" w:ascii="宋体" w:hAnsi="宋体"/>
          <w:b/>
          <w:bCs/>
          <w:sz w:val="36"/>
          <w:szCs w:val="36"/>
        </w:rPr>
      </w:pPr>
    </w:p>
    <w:p>
      <w:pPr>
        <w:pStyle w:val="2"/>
        <w:ind w:firstLine="210"/>
        <w:rPr>
          <w:rFonts w:hint="eastAsia"/>
        </w:rPr>
      </w:pPr>
    </w:p>
    <w:p>
      <w:pPr>
        <w:rPr>
          <w:rFonts w:ascii="黑体" w:hAnsi="宋体" w:eastAsia="黑体"/>
          <w:bCs/>
          <w:sz w:val="24"/>
          <w:szCs w:val="24"/>
        </w:rPr>
      </w:pPr>
      <w:bookmarkStart w:id="112"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t>YXGYJT202110011</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12"/>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p>
      <w:pPr>
        <w:pStyle w:val="2"/>
        <w:ind w:firstLine="210"/>
        <w:rPr>
          <w:rFonts w:hint="eastAsia"/>
        </w:rPr>
      </w:pPr>
    </w:p>
    <w:p>
      <w:pPr>
        <w:tabs>
          <w:tab w:val="left" w:pos="255"/>
        </w:tabs>
        <w:spacing w:before="156" w:beforeLines="50" w:after="156" w:afterLines="50" w:line="360" w:lineRule="auto"/>
        <w:jc w:val="center"/>
        <w:rPr>
          <w:rFonts w:hint="eastAsia" w:ascii="黑体" w:hAnsi="黑体" w:eastAsia="黑体"/>
          <w:sz w:val="28"/>
          <w:szCs w:val="21"/>
          <w:lang w:val="zh-CN"/>
        </w:rPr>
      </w:pPr>
      <w:r>
        <w:rPr>
          <w:rFonts w:hint="eastAsia" w:ascii="黑体" w:hAnsi="黑体" w:eastAsia="黑体"/>
          <w:sz w:val="28"/>
          <w:szCs w:val="21"/>
          <w:lang w:val="zh-CN"/>
        </w:rPr>
        <w:t>材料设备品牌承诺表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t>YXGYJT202110011</w:t>
      </w:r>
    </w:p>
    <w:tbl>
      <w:tblPr>
        <w:tblStyle w:val="7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402"/>
        <w:gridCol w:w="1375"/>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参照（或相当于）品牌（型号）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投标人承诺</w:t>
            </w:r>
          </w:p>
          <w:p>
            <w:pPr>
              <w:pStyle w:val="520"/>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2</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3</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4</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5</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6</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7</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8</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9</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10</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楷体"/>
                <w:sz w:val="24"/>
                <w:szCs w:val="24"/>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bl>
    <w:p>
      <w:pPr>
        <w:tabs>
          <w:tab w:val="left" w:pos="255"/>
        </w:tabs>
        <w:spacing w:line="360" w:lineRule="auto"/>
        <w:ind w:firstLine="600" w:firstLineChars="250"/>
        <w:jc w:val="left"/>
        <w:rPr>
          <w:rFonts w:hint="eastAsia"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113" w:name="_Toc448822646"/>
      <w:bookmarkStart w:id="114" w:name="_Toc448681959"/>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113"/>
      <w:bookmarkEnd w:id="114"/>
    </w:p>
    <w:p>
      <w:pPr>
        <w:rPr>
          <w:rFonts w:ascii="宋体" w:hAnsi="宋体"/>
          <w:color w:val="000000"/>
          <w:szCs w:val="21"/>
        </w:rPr>
      </w:pPr>
    </w:p>
    <w:p>
      <w:pPr>
        <w:jc w:val="center"/>
        <w:rPr>
          <w:rFonts w:hint="eastAsia" w:ascii="黑体" w:hAnsi="宋体" w:eastAsia="黑体"/>
          <w:sz w:val="32"/>
          <w:szCs w:val="32"/>
        </w:rPr>
      </w:pPr>
      <w:r>
        <w:rPr>
          <w:rFonts w:hint="eastAsia" w:ascii="宋体" w:hAnsi="宋体"/>
          <w:sz w:val="24"/>
          <w:szCs w:val="21"/>
          <w:lang w:val="zh-CN"/>
        </w:rPr>
        <w:t>投标人签名（盖章）：                               日期：</w:t>
      </w:r>
    </w:p>
    <w:p>
      <w:pPr>
        <w:rPr>
          <w:rFonts w:ascii="宋体" w:hAnsi="宋体"/>
          <w:b/>
          <w:bCs/>
          <w:sz w:val="36"/>
          <w:szCs w:val="36"/>
        </w:rPr>
      </w:pPr>
    </w:p>
    <w:p>
      <w:pPr>
        <w:pStyle w:val="2"/>
        <w:ind w:firstLine="210"/>
        <w:rPr>
          <w:rFonts w:hint="eastAsia"/>
          <w:lang w:val="en-US" w:eastAsia="zh-CN"/>
        </w:rPr>
      </w:pPr>
    </w:p>
    <w:p>
      <w:pPr>
        <w:spacing w:line="400" w:lineRule="exact"/>
        <w:jc w:val="center"/>
        <w:rPr>
          <w:rFonts w:hint="eastAsia" w:ascii="宋体" w:hAnsi="宋体"/>
          <w:b/>
          <w:bCs/>
          <w:sz w:val="36"/>
          <w:szCs w:val="36"/>
        </w:rPr>
      </w:pPr>
      <w:r>
        <w:rPr>
          <w:rFonts w:hint="eastAsia" w:ascii="宋体" w:hAnsi="宋体"/>
          <w:b/>
          <w:bCs/>
          <w:sz w:val="36"/>
          <w:szCs w:val="36"/>
        </w:rPr>
        <w:t>宜兴水务集团有限公司移动式静音型发电机组采购</w:t>
      </w:r>
    </w:p>
    <w:p>
      <w:pPr>
        <w:spacing w:line="400" w:lineRule="exact"/>
        <w:jc w:val="center"/>
        <w:rPr>
          <w:rFonts w:hint="eastAsia" w:ascii="宋体" w:hAnsi="宋体"/>
          <w:b/>
          <w:bCs/>
          <w:sz w:val="36"/>
          <w:szCs w:val="36"/>
        </w:rPr>
      </w:pPr>
      <w:r>
        <w:rPr>
          <w:rFonts w:hint="eastAsia" w:ascii="宋体" w:hAnsi="宋体"/>
          <w:b/>
          <w:bCs/>
          <w:sz w:val="36"/>
          <w:szCs w:val="36"/>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spacing w:line="400" w:lineRule="exact"/>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因工作需要，现组织宜兴水务集团有限公司对移动式静音型发电机组采购进行招标。现欢迎符合相关条件的供应商参加投标。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YXGYJT202110011</w:t>
      </w:r>
    </w:p>
    <w:p>
      <w:pPr>
        <w:jc w:val="left"/>
        <w:rPr>
          <w:rFonts w:ascii="宋体" w:hAnsi="宋体"/>
          <w:b/>
          <w:bCs/>
          <w:sz w:val="44"/>
          <w:szCs w:val="44"/>
        </w:rPr>
      </w:pPr>
      <w:r>
        <w:rPr>
          <w:rFonts w:hint="eastAsia" w:ascii="仿宋_GB2312" w:eastAsia="仿宋_GB2312"/>
          <w:sz w:val="28"/>
          <w:szCs w:val="28"/>
        </w:rPr>
        <w:t xml:space="preserve">    ②项目名称：移动式静音型发电机组</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290"/>
        <w:rPr>
          <w:rFonts w:hint="eastAsia"/>
        </w:rPr>
      </w:pPr>
      <w:r>
        <w:rPr>
          <w:rFonts w:hint="eastAsia" w:ascii="仿宋_GB2312" w:eastAsia="仿宋_GB2312"/>
          <w:sz w:val="28"/>
          <w:szCs w:val="28"/>
        </w:rPr>
        <w:t xml:space="preserve">    ④本项目预算为：</w:t>
      </w:r>
      <w:r>
        <w:rPr>
          <w:rFonts w:hint="eastAsia" w:ascii="仿宋_GB2312" w:eastAsia="仿宋_GB2312"/>
          <w:color w:val="000000"/>
          <w:kern w:val="2"/>
          <w:sz w:val="28"/>
          <w:szCs w:val="28"/>
          <w:u w:val="none" w:color="auto"/>
        </w:rPr>
        <w:t>45</w:t>
      </w:r>
      <w:r>
        <w:rPr>
          <w:rFonts w:hint="eastAsia" w:ascii="仿宋_GB2312" w:eastAsia="仿宋_GB2312"/>
          <w:kern w:val="2"/>
          <w:sz w:val="28"/>
          <w:szCs w:val="28"/>
          <w:u w:val="none" w:color="auto"/>
        </w:rPr>
        <w:t>万，最低价中标 。</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①具有独立承担民事责任的能力，是柴油发电机组设备制造商或制造商 的授权代理商。投标人如为代理商需提供制造商针对本项目的专项授权书原件。制造商与其授权代理商不能同时参与投标，如同时参加只接受制造商投标。；</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②有依法缴纳税收和社会保障资金的良好记录；</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③具有履行合同所必需的设备和专业技术能力；</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④投标人需通过 ISO9001 质量管理体系认证、ISO14001 环境管理体系认证、ISO45001 职业健康安全管理体系认证（清晰扫描件）</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④投标供应商在投标时须提供投标产品清晰彩照、产品参数说明书等相关资料；</w:t>
      </w:r>
    </w:p>
    <w:p>
      <w:pPr>
        <w:spacing w:line="560" w:lineRule="exact"/>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⑤不接受联合体，不接受成交后分包</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1、提交投标文件截止及开标时间：2022年1月5日14：00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2021年12月28日-2021年12月31日。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15" w:name="OLE_LINK29"/>
            <w:bookmarkEnd w:id="115"/>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联系人：赵女士、刘先生</w:t>
            </w:r>
          </w:p>
          <w:p>
            <w:pPr>
              <w:spacing w:line="560" w:lineRule="exact"/>
              <w:rPr>
                <w:rFonts w:ascii="仿宋_GB2312" w:eastAsia="仿宋_GB2312"/>
                <w:sz w:val="28"/>
                <w:szCs w:val="28"/>
              </w:rPr>
            </w:pPr>
            <w:r>
              <w:rPr>
                <w:rFonts w:hint="eastAsia" w:ascii="仿宋_GB2312" w:eastAsia="仿宋_GB2312"/>
                <w:sz w:val="28"/>
                <w:szCs w:val="28"/>
              </w:rPr>
              <w:t>联系电话：0510-80718885</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2021年12月</w:t>
      </w:r>
      <w:r>
        <w:rPr>
          <w:rFonts w:hint="eastAsia" w:ascii="仿宋_GB2312" w:eastAsia="仿宋_GB2312"/>
          <w:color w:val="000000"/>
          <w:sz w:val="28"/>
          <w:szCs w:val="28"/>
        </w:rPr>
        <w:t>28</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幼圆+′_x0003_...">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3"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26</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4FA533DD"/>
    <w:multiLevelType w:val="singleLevel"/>
    <w:tmpl w:val="4FA533DD"/>
    <w:lvl w:ilvl="0" w:tentative="0">
      <w:start w:val="4"/>
      <w:numFmt w:val="decimal"/>
      <w:suff w:val="nothing"/>
      <w:lvlText w:val="%1、"/>
      <w:lvlJc w:val="left"/>
      <w:rPr>
        <w:rFonts w:cs="Times New Roman"/>
      </w:rPr>
    </w:lvl>
  </w:abstractNum>
  <w:abstractNum w:abstractNumId="20">
    <w:nsid w:val="4FA533DE"/>
    <w:multiLevelType w:val="singleLevel"/>
    <w:tmpl w:val="4FA533DE"/>
    <w:lvl w:ilvl="0" w:tentative="0">
      <w:start w:val="5"/>
      <w:numFmt w:val="chineseCounting"/>
      <w:suff w:val="nothing"/>
      <w:lvlText w:val="%1、"/>
      <w:lvlJc w:val="left"/>
      <w:rPr>
        <w:rFonts w:cs="Times New Roman"/>
      </w:rPr>
    </w:lvl>
  </w:abstractNum>
  <w:abstractNum w:abstractNumId="21">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7"/>
  </w:num>
  <w:num w:numId="2">
    <w:abstractNumId w:val="18"/>
  </w:num>
  <w:num w:numId="3">
    <w:abstractNumId w:val="1"/>
  </w:num>
  <w:num w:numId="4">
    <w:abstractNumId w:val="0"/>
  </w:num>
  <w:num w:numId="5">
    <w:abstractNumId w:val="3"/>
  </w:num>
  <w:num w:numId="6">
    <w:abstractNumId w:val="15"/>
  </w:num>
  <w:num w:numId="7">
    <w:abstractNumId w:val="6"/>
  </w:num>
  <w:num w:numId="8">
    <w:abstractNumId w:val="26"/>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21"/>
  </w:num>
  <w:num w:numId="16">
    <w:abstractNumId w:val="9"/>
  </w:num>
  <w:num w:numId="17">
    <w:abstractNumId w:val="25"/>
  </w:num>
  <w:num w:numId="18">
    <w:abstractNumId w:val="11"/>
  </w:num>
  <w:num w:numId="19">
    <w:abstractNumId w:val="12"/>
  </w:num>
  <w:num w:numId="20">
    <w:abstractNumId w:val="22"/>
  </w:num>
  <w:num w:numId="21">
    <w:abstractNumId w:val="23"/>
  </w:num>
  <w:num w:numId="22">
    <w:abstractNumId w:val="7"/>
  </w:num>
  <w:num w:numId="23">
    <w:abstractNumId w:val="13"/>
  </w:num>
  <w:num w:numId="24">
    <w:abstractNumId w:val="14"/>
  </w:num>
  <w:num w:numId="25">
    <w:abstractNumId w:val="19"/>
    <w:lvlOverride w:ilvl="0">
      <w:startOverride w:val="4"/>
    </w:lvlOverride>
  </w:num>
  <w:num w:numId="26">
    <w:abstractNumId w:val="20"/>
    <w:lvlOverride w:ilvl="0">
      <w:startOverride w:val="5"/>
    </w:lvlOverride>
  </w:num>
  <w:num w:numId="27">
    <w:abstractNumId w:val="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7392"/>
    <w:rsid w:val="00063081"/>
    <w:rsid w:val="00063887"/>
    <w:rsid w:val="0007007A"/>
    <w:rsid w:val="000770C1"/>
    <w:rsid w:val="00077B4D"/>
    <w:rsid w:val="000874F5"/>
    <w:rsid w:val="00093219"/>
    <w:rsid w:val="00094306"/>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8308F"/>
    <w:rsid w:val="00194751"/>
    <w:rsid w:val="001A0AEB"/>
    <w:rsid w:val="001A3569"/>
    <w:rsid w:val="001B3697"/>
    <w:rsid w:val="001B387B"/>
    <w:rsid w:val="001D475E"/>
    <w:rsid w:val="001E527B"/>
    <w:rsid w:val="0020510D"/>
    <w:rsid w:val="00205424"/>
    <w:rsid w:val="00211160"/>
    <w:rsid w:val="00216917"/>
    <w:rsid w:val="00223458"/>
    <w:rsid w:val="00225291"/>
    <w:rsid w:val="00227721"/>
    <w:rsid w:val="00230288"/>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2F7E29"/>
    <w:rsid w:val="0030271C"/>
    <w:rsid w:val="00325CA3"/>
    <w:rsid w:val="00342F5B"/>
    <w:rsid w:val="0034450C"/>
    <w:rsid w:val="003451BB"/>
    <w:rsid w:val="00362009"/>
    <w:rsid w:val="00367385"/>
    <w:rsid w:val="0037783C"/>
    <w:rsid w:val="00377A1A"/>
    <w:rsid w:val="0038324F"/>
    <w:rsid w:val="003937B6"/>
    <w:rsid w:val="00393C62"/>
    <w:rsid w:val="00394046"/>
    <w:rsid w:val="00396495"/>
    <w:rsid w:val="003A2CAD"/>
    <w:rsid w:val="003C0E52"/>
    <w:rsid w:val="003E1D25"/>
    <w:rsid w:val="003F7B1A"/>
    <w:rsid w:val="00443203"/>
    <w:rsid w:val="0044552F"/>
    <w:rsid w:val="00446253"/>
    <w:rsid w:val="00465523"/>
    <w:rsid w:val="00490924"/>
    <w:rsid w:val="004A16AA"/>
    <w:rsid w:val="004B012F"/>
    <w:rsid w:val="004B2387"/>
    <w:rsid w:val="004B3B04"/>
    <w:rsid w:val="004D4322"/>
    <w:rsid w:val="004D65D3"/>
    <w:rsid w:val="004E1819"/>
    <w:rsid w:val="004E4701"/>
    <w:rsid w:val="004E5E09"/>
    <w:rsid w:val="004F1D66"/>
    <w:rsid w:val="00510E70"/>
    <w:rsid w:val="00511196"/>
    <w:rsid w:val="00517E1D"/>
    <w:rsid w:val="0053192E"/>
    <w:rsid w:val="00533CEB"/>
    <w:rsid w:val="00543359"/>
    <w:rsid w:val="00554A82"/>
    <w:rsid w:val="0056381F"/>
    <w:rsid w:val="00563CCD"/>
    <w:rsid w:val="00572186"/>
    <w:rsid w:val="00575902"/>
    <w:rsid w:val="005B1826"/>
    <w:rsid w:val="005B3469"/>
    <w:rsid w:val="005B4FA7"/>
    <w:rsid w:val="005C2860"/>
    <w:rsid w:val="005C6322"/>
    <w:rsid w:val="005C6971"/>
    <w:rsid w:val="005F73AF"/>
    <w:rsid w:val="006112BE"/>
    <w:rsid w:val="00611F53"/>
    <w:rsid w:val="00612EEF"/>
    <w:rsid w:val="00624DB0"/>
    <w:rsid w:val="00636A45"/>
    <w:rsid w:val="00657F7E"/>
    <w:rsid w:val="00667851"/>
    <w:rsid w:val="0067075C"/>
    <w:rsid w:val="0068693F"/>
    <w:rsid w:val="00697679"/>
    <w:rsid w:val="006C2FFD"/>
    <w:rsid w:val="006C5913"/>
    <w:rsid w:val="006D196A"/>
    <w:rsid w:val="006E72CE"/>
    <w:rsid w:val="006F4E0A"/>
    <w:rsid w:val="006F6722"/>
    <w:rsid w:val="007026D5"/>
    <w:rsid w:val="00710B2E"/>
    <w:rsid w:val="00714C03"/>
    <w:rsid w:val="007241D7"/>
    <w:rsid w:val="00726EBA"/>
    <w:rsid w:val="00731C9A"/>
    <w:rsid w:val="0073294A"/>
    <w:rsid w:val="0073295A"/>
    <w:rsid w:val="00751B1C"/>
    <w:rsid w:val="00760775"/>
    <w:rsid w:val="00773E58"/>
    <w:rsid w:val="00776638"/>
    <w:rsid w:val="0078335A"/>
    <w:rsid w:val="00794980"/>
    <w:rsid w:val="00795C42"/>
    <w:rsid w:val="007A376A"/>
    <w:rsid w:val="007C3291"/>
    <w:rsid w:val="007C5599"/>
    <w:rsid w:val="007D20CA"/>
    <w:rsid w:val="007D6775"/>
    <w:rsid w:val="007E62F1"/>
    <w:rsid w:val="007F1681"/>
    <w:rsid w:val="007F188A"/>
    <w:rsid w:val="007F2D64"/>
    <w:rsid w:val="00801052"/>
    <w:rsid w:val="00803E7C"/>
    <w:rsid w:val="00806B1F"/>
    <w:rsid w:val="00810F54"/>
    <w:rsid w:val="00831521"/>
    <w:rsid w:val="00836091"/>
    <w:rsid w:val="00836D8E"/>
    <w:rsid w:val="00840EA7"/>
    <w:rsid w:val="00841471"/>
    <w:rsid w:val="00845FBB"/>
    <w:rsid w:val="00845FF7"/>
    <w:rsid w:val="008521FA"/>
    <w:rsid w:val="0085617D"/>
    <w:rsid w:val="008648EB"/>
    <w:rsid w:val="00891430"/>
    <w:rsid w:val="0089150E"/>
    <w:rsid w:val="008B4989"/>
    <w:rsid w:val="008D2564"/>
    <w:rsid w:val="008D74F7"/>
    <w:rsid w:val="008E637F"/>
    <w:rsid w:val="008F5CE2"/>
    <w:rsid w:val="0090199D"/>
    <w:rsid w:val="00901CE3"/>
    <w:rsid w:val="00904D0F"/>
    <w:rsid w:val="00905D4E"/>
    <w:rsid w:val="00916FFD"/>
    <w:rsid w:val="0092743B"/>
    <w:rsid w:val="009302FD"/>
    <w:rsid w:val="00932F13"/>
    <w:rsid w:val="00933662"/>
    <w:rsid w:val="009432E3"/>
    <w:rsid w:val="00955E8E"/>
    <w:rsid w:val="00960456"/>
    <w:rsid w:val="00961492"/>
    <w:rsid w:val="0096255D"/>
    <w:rsid w:val="009639E0"/>
    <w:rsid w:val="00963F99"/>
    <w:rsid w:val="00965A95"/>
    <w:rsid w:val="009856C4"/>
    <w:rsid w:val="00990483"/>
    <w:rsid w:val="00991592"/>
    <w:rsid w:val="00993DA8"/>
    <w:rsid w:val="00996823"/>
    <w:rsid w:val="00996891"/>
    <w:rsid w:val="00996FC8"/>
    <w:rsid w:val="009A0FB8"/>
    <w:rsid w:val="009B033D"/>
    <w:rsid w:val="009B3CF3"/>
    <w:rsid w:val="009C298E"/>
    <w:rsid w:val="009C5527"/>
    <w:rsid w:val="009C57DE"/>
    <w:rsid w:val="009C7C3F"/>
    <w:rsid w:val="009F36E1"/>
    <w:rsid w:val="00A24A80"/>
    <w:rsid w:val="00A2544B"/>
    <w:rsid w:val="00A36160"/>
    <w:rsid w:val="00A52BEF"/>
    <w:rsid w:val="00A54835"/>
    <w:rsid w:val="00A5785A"/>
    <w:rsid w:val="00A678FA"/>
    <w:rsid w:val="00A67A1A"/>
    <w:rsid w:val="00A72C5E"/>
    <w:rsid w:val="00A76493"/>
    <w:rsid w:val="00A91BD7"/>
    <w:rsid w:val="00A927BE"/>
    <w:rsid w:val="00A93C38"/>
    <w:rsid w:val="00AA30CA"/>
    <w:rsid w:val="00AB0810"/>
    <w:rsid w:val="00AC2325"/>
    <w:rsid w:val="00AC4069"/>
    <w:rsid w:val="00AC43D0"/>
    <w:rsid w:val="00AD04E4"/>
    <w:rsid w:val="00AD0AA0"/>
    <w:rsid w:val="00AD499B"/>
    <w:rsid w:val="00B02D95"/>
    <w:rsid w:val="00B032CC"/>
    <w:rsid w:val="00B17D9D"/>
    <w:rsid w:val="00B24081"/>
    <w:rsid w:val="00B254B9"/>
    <w:rsid w:val="00B30897"/>
    <w:rsid w:val="00B3107D"/>
    <w:rsid w:val="00B36F53"/>
    <w:rsid w:val="00B525E9"/>
    <w:rsid w:val="00B64171"/>
    <w:rsid w:val="00B64ECF"/>
    <w:rsid w:val="00B70A8E"/>
    <w:rsid w:val="00B767C3"/>
    <w:rsid w:val="00B805B3"/>
    <w:rsid w:val="00B9494C"/>
    <w:rsid w:val="00BA2387"/>
    <w:rsid w:val="00BA3969"/>
    <w:rsid w:val="00BA5309"/>
    <w:rsid w:val="00BB0746"/>
    <w:rsid w:val="00BF1F2A"/>
    <w:rsid w:val="00BF2413"/>
    <w:rsid w:val="00BF7E55"/>
    <w:rsid w:val="00C032FB"/>
    <w:rsid w:val="00C1057C"/>
    <w:rsid w:val="00C10902"/>
    <w:rsid w:val="00C16984"/>
    <w:rsid w:val="00C20209"/>
    <w:rsid w:val="00C32866"/>
    <w:rsid w:val="00C33F56"/>
    <w:rsid w:val="00C43230"/>
    <w:rsid w:val="00C4327B"/>
    <w:rsid w:val="00C61B60"/>
    <w:rsid w:val="00C65C7E"/>
    <w:rsid w:val="00C65DB1"/>
    <w:rsid w:val="00C775B8"/>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22EA"/>
    <w:rsid w:val="00D23C42"/>
    <w:rsid w:val="00D26052"/>
    <w:rsid w:val="00D3393D"/>
    <w:rsid w:val="00D3536F"/>
    <w:rsid w:val="00D375AE"/>
    <w:rsid w:val="00D416F0"/>
    <w:rsid w:val="00D46709"/>
    <w:rsid w:val="00D55F92"/>
    <w:rsid w:val="00D57E88"/>
    <w:rsid w:val="00D66B2E"/>
    <w:rsid w:val="00D67BC6"/>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67060"/>
    <w:rsid w:val="00E7084A"/>
    <w:rsid w:val="00E8076E"/>
    <w:rsid w:val="00E8219F"/>
    <w:rsid w:val="00E83D8E"/>
    <w:rsid w:val="00E87948"/>
    <w:rsid w:val="00E96F4C"/>
    <w:rsid w:val="00E97F57"/>
    <w:rsid w:val="00EA0AFE"/>
    <w:rsid w:val="00EA2906"/>
    <w:rsid w:val="00EA2F1D"/>
    <w:rsid w:val="00EB2A2B"/>
    <w:rsid w:val="00EB48F2"/>
    <w:rsid w:val="00EB54B0"/>
    <w:rsid w:val="00EC4036"/>
    <w:rsid w:val="00ED0DBD"/>
    <w:rsid w:val="00EE24CA"/>
    <w:rsid w:val="00EE2EEC"/>
    <w:rsid w:val="00EE5F8B"/>
    <w:rsid w:val="00EF1D49"/>
    <w:rsid w:val="00F0063E"/>
    <w:rsid w:val="00F03A85"/>
    <w:rsid w:val="00F03B15"/>
    <w:rsid w:val="00F05F98"/>
    <w:rsid w:val="00F06ECE"/>
    <w:rsid w:val="00F13507"/>
    <w:rsid w:val="00F16BF2"/>
    <w:rsid w:val="00F20AD4"/>
    <w:rsid w:val="00F236AD"/>
    <w:rsid w:val="00F26171"/>
    <w:rsid w:val="00F373AB"/>
    <w:rsid w:val="00F4434A"/>
    <w:rsid w:val="00F507DE"/>
    <w:rsid w:val="00F51DCC"/>
    <w:rsid w:val="00F55979"/>
    <w:rsid w:val="00F57D25"/>
    <w:rsid w:val="00F63BB0"/>
    <w:rsid w:val="00F70ABE"/>
    <w:rsid w:val="00F73FDD"/>
    <w:rsid w:val="00F751C5"/>
    <w:rsid w:val="00F81AF0"/>
    <w:rsid w:val="00F822F0"/>
    <w:rsid w:val="00FA1DD3"/>
    <w:rsid w:val="00FA374B"/>
    <w:rsid w:val="00FA6C2F"/>
    <w:rsid w:val="00FB0C38"/>
    <w:rsid w:val="00FB136F"/>
    <w:rsid w:val="00FB146D"/>
    <w:rsid w:val="00FB49F8"/>
    <w:rsid w:val="00FB5FAB"/>
    <w:rsid w:val="00FC20AC"/>
    <w:rsid w:val="00FC298F"/>
    <w:rsid w:val="00FC4B30"/>
    <w:rsid w:val="00FD33BD"/>
    <w:rsid w:val="00FD6F1A"/>
    <w:rsid w:val="00FE1913"/>
    <w:rsid w:val="00FE43DF"/>
    <w:rsid w:val="00FE73C8"/>
    <w:rsid w:val="01BC5A23"/>
    <w:rsid w:val="03C30993"/>
    <w:rsid w:val="0790057F"/>
    <w:rsid w:val="088C2CFA"/>
    <w:rsid w:val="0A3B412B"/>
    <w:rsid w:val="0E6024DC"/>
    <w:rsid w:val="1009308B"/>
    <w:rsid w:val="14144B95"/>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ACE2022"/>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186"/>
    <w:qFormat/>
    <w:locked/>
    <w:uiPriority w:val="0"/>
    <w:pPr>
      <w:keepNext/>
      <w:spacing w:before="227" w:line="240" w:lineRule="exact"/>
      <w:ind w:firstLine="420"/>
      <w:outlineLvl w:val="0"/>
    </w:pPr>
    <w:rPr>
      <w:color w:val="000000"/>
      <w:sz w:val="24"/>
    </w:rPr>
  </w:style>
  <w:style w:type="paragraph" w:styleId="5">
    <w:name w:val="heading 2"/>
    <w:basedOn w:val="1"/>
    <w:next w:val="1"/>
    <w:link w:val="163"/>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0"/>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05"/>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5"/>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6"/>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6"/>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First Indent"/>
    <w:basedOn w:val="1"/>
    <w:link w:val="139"/>
    <w:uiPriority w:val="0"/>
    <w:pPr>
      <w:spacing w:after="120"/>
      <w:ind w:firstLine="420" w:firstLineChars="100"/>
    </w:pPr>
  </w:style>
  <w:style w:type="paragraph" w:styleId="3">
    <w:name w:val="macro"/>
    <w:basedOn w:val="1"/>
    <w:link w:val="147"/>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7"/>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29"/>
    <w:uiPriority w:val="0"/>
    <w:pPr>
      <w:shd w:val="clear" w:color="auto" w:fill="000080"/>
    </w:pPr>
  </w:style>
  <w:style w:type="paragraph" w:styleId="27">
    <w:name w:val="annotation text"/>
    <w:basedOn w:val="1"/>
    <w:link w:val="172"/>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7"/>
    <w:uiPriority w:val="0"/>
    <w:pPr>
      <w:spacing w:after="120"/>
    </w:pPr>
    <w:rPr>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2"/>
    <w:qFormat/>
    <w:uiPriority w:val="0"/>
    <w:rPr>
      <w:sz w:val="20"/>
    </w:rPr>
  </w:style>
  <w:style w:type="paragraph" w:styleId="32">
    <w:name w:val="Body Text Indent"/>
    <w:basedOn w:val="1"/>
    <w:link w:val="177"/>
    <w:qFormat/>
    <w:uiPriority w:val="0"/>
    <w:pPr>
      <w:ind w:firstLine="576"/>
    </w:pPr>
    <w:rPr>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0"/>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5"/>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1"/>
    <w:uiPriority w:val="0"/>
    <w:pPr>
      <w:autoSpaceDE w:val="0"/>
      <w:autoSpaceDN w:val="0"/>
      <w:adjustRightInd w:val="0"/>
      <w:textAlignment w:val="baseline"/>
    </w:pPr>
    <w:rPr>
      <w:rFonts w:ascii="Arial" w:hAnsi="Arial"/>
    </w:rPr>
  </w:style>
  <w:style w:type="paragraph" w:styleId="46">
    <w:name w:val="Body Text Indent 2"/>
    <w:basedOn w:val="1"/>
    <w:link w:val="155"/>
    <w:uiPriority w:val="0"/>
    <w:pPr>
      <w:autoSpaceDE w:val="0"/>
      <w:autoSpaceDN w:val="0"/>
      <w:adjustRightInd w:val="0"/>
      <w:spacing w:line="360" w:lineRule="auto"/>
      <w:ind w:left="1080"/>
      <w:textAlignment w:val="baseline"/>
    </w:pPr>
  </w:style>
  <w:style w:type="paragraph" w:styleId="47">
    <w:name w:val="endnote text"/>
    <w:basedOn w:val="48"/>
    <w:link w:val="148"/>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5"/>
    <w:unhideWhenUsed/>
    <w:qFormat/>
    <w:uiPriority w:val="0"/>
    <w:rPr>
      <w:sz w:val="18"/>
      <w:szCs w:val="18"/>
    </w:rPr>
  </w:style>
  <w:style w:type="paragraph" w:styleId="50">
    <w:name w:val="footer"/>
    <w:basedOn w:val="1"/>
    <w:link w:val="185"/>
    <w:qFormat/>
    <w:uiPriority w:val="0"/>
    <w:pPr>
      <w:tabs>
        <w:tab w:val="center" w:pos="4153"/>
        <w:tab w:val="right" w:pos="8306"/>
      </w:tabs>
      <w:snapToGrid w:val="0"/>
      <w:jc w:val="left"/>
    </w:pPr>
    <w:rPr>
      <w:kern w:val="0"/>
      <w:sz w:val="18"/>
      <w:szCs w:val="18"/>
    </w:rPr>
  </w:style>
  <w:style w:type="paragraph" w:styleId="51">
    <w:name w:val="header"/>
    <w:basedOn w:val="1"/>
    <w:link w:val="195"/>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6"/>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8"/>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8"/>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0"/>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38"/>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link w:val="74"/>
    <w:uiPriority w:val="0"/>
    <w:rPr>
      <w:rFonts w:ascii="Times New Roman" w:hAnsi="Times New Roman"/>
      <w:b/>
      <w:kern w:val="2"/>
      <w:sz w:val="21"/>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正文文本 3 Char"/>
    <w:link w:val="29"/>
    <w:uiPriority w:val="0"/>
    <w:rPr>
      <w:kern w:val="2"/>
      <w:sz w:val="16"/>
      <w:szCs w:val="16"/>
    </w:rPr>
  </w:style>
  <w:style w:type="character" w:customStyle="1" w:styleId="98">
    <w:name w:val="正文文本 2 Char"/>
    <w:link w:val="67"/>
    <w:qFormat/>
    <w:uiPriority w:val="0"/>
    <w:rPr>
      <w:kern w:val="2"/>
      <w:sz w:val="21"/>
    </w:rPr>
  </w:style>
  <w:style w:type="character" w:customStyle="1" w:styleId="99">
    <w:name w:val="标题 5 Char"/>
    <w:link w:val="8"/>
    <w:uiPriority w:val="0"/>
    <w:rPr>
      <w:rFonts w:ascii="Times New Roman" w:hAnsi="Times New Roman"/>
      <w:b/>
      <w:kern w:val="2"/>
      <w:sz w:val="28"/>
    </w:rPr>
  </w:style>
  <w:style w:type="character" w:customStyle="1" w:styleId="100">
    <w:name w:val="明显参考1"/>
    <w:qFormat/>
    <w:uiPriority w:val="99"/>
    <w:rPr>
      <w:rFonts w:cs="Times New Roman"/>
      <w:b/>
      <w:bCs/>
      <w:smallCaps/>
      <w:color w:val="C0504D"/>
      <w:spacing w:val="5"/>
      <w:u w:val="single"/>
    </w:rPr>
  </w:style>
  <w:style w:type="character" w:customStyle="1" w:styleId="101">
    <w:name w:val="Lincer表格样式 Char Char"/>
    <w:link w:val="102"/>
    <w:uiPriority w:val="0"/>
    <w:rPr>
      <w:kern w:val="2"/>
      <w:sz w:val="21"/>
    </w:rPr>
  </w:style>
  <w:style w:type="paragraph" w:customStyle="1" w:styleId="102">
    <w:name w:val="Lincer表格样式"/>
    <w:basedOn w:val="1"/>
    <w:link w:val="101"/>
    <w:uiPriority w:val="0"/>
    <w:pPr>
      <w:ind w:left="344" w:hanging="344" w:hangingChars="164"/>
    </w:pPr>
  </w:style>
  <w:style w:type="character" w:customStyle="1" w:styleId="103">
    <w:name w:val="附录三 Char Char"/>
    <w:link w:val="104"/>
    <w:uiPriority w:val="0"/>
    <w:rPr>
      <w:rFonts w:ascii="E-F1" w:eastAsia="黑体"/>
      <w:kern w:val="21"/>
      <w:sz w:val="21"/>
    </w:rPr>
  </w:style>
  <w:style w:type="paragraph" w:customStyle="1" w:styleId="104">
    <w:name w:val="附录三"/>
    <w:basedOn w:val="1"/>
    <w:link w:val="103"/>
    <w:uiPriority w:val="0"/>
    <w:pPr>
      <w:tabs>
        <w:tab w:val="center" w:pos="4706"/>
        <w:tab w:val="right" w:pos="9072"/>
      </w:tabs>
      <w:spacing w:before="120" w:after="60" w:line="312" w:lineRule="exact"/>
    </w:pPr>
    <w:rPr>
      <w:rFonts w:ascii="E-F1" w:eastAsia="黑体"/>
      <w:kern w:val="21"/>
    </w:rPr>
  </w:style>
  <w:style w:type="character" w:customStyle="1" w:styleId="105">
    <w:name w:val="标题 4 Char"/>
    <w:link w:val="7"/>
    <w:uiPriority w:val="0"/>
    <w:rPr>
      <w:rFonts w:ascii="Times New Roman" w:hAnsi="Times New Roman"/>
      <w:kern w:val="2"/>
      <w:sz w:val="18"/>
      <w:szCs w:val="18"/>
    </w:rPr>
  </w:style>
  <w:style w:type="character" w:customStyle="1" w:styleId="106">
    <w:name w:val="科东_正文 Char Char"/>
    <w:link w:val="107"/>
    <w:uiPriority w:val="0"/>
    <w:rPr>
      <w:kern w:val="2"/>
      <w:sz w:val="24"/>
    </w:rPr>
  </w:style>
  <w:style w:type="paragraph" w:customStyle="1" w:styleId="107">
    <w:name w:val="科东_正文"/>
    <w:basedOn w:val="1"/>
    <w:link w:val="106"/>
    <w:uiPriority w:val="0"/>
    <w:pPr>
      <w:spacing w:line="360" w:lineRule="auto"/>
      <w:ind w:firstLine="200" w:firstLineChars="200"/>
    </w:pPr>
    <w:rPr>
      <w:sz w:val="24"/>
    </w:rPr>
  </w:style>
  <w:style w:type="character" w:customStyle="1" w:styleId="108">
    <w:name w:val="正文文本缩进 3 Char"/>
    <w:link w:val="61"/>
    <w:uiPriority w:val="0"/>
    <w:rPr>
      <w:rFonts w:ascii="Times New Roman" w:hAnsi="Times New Roman"/>
      <w:kern w:val="2"/>
      <w:sz w:val="24"/>
    </w:rPr>
  </w:style>
  <w:style w:type="character" w:customStyle="1" w:styleId="109">
    <w:name w:val="样式 宋体"/>
    <w:uiPriority w:val="0"/>
    <w:rPr>
      <w:rFonts w:ascii="宋体" w:eastAsia="宋体"/>
      <w:sz w:val="18"/>
    </w:rPr>
  </w:style>
  <w:style w:type="character" w:customStyle="1" w:styleId="110">
    <w:name w:val="HTML 地址 Char"/>
    <w:link w:val="38"/>
    <w:uiPriority w:val="0"/>
    <w:rPr>
      <w:rFonts w:ascii="Times New Roman" w:hAnsi="Times New Roman"/>
      <w:i/>
      <w:kern w:val="2"/>
      <w:sz w:val="21"/>
    </w:rPr>
  </w:style>
  <w:style w:type="character" w:customStyle="1" w:styleId="111">
    <w:name w:val="样式1 Char"/>
    <w:link w:val="112"/>
    <w:locked/>
    <w:uiPriority w:val="0"/>
    <w:rPr>
      <w:rFonts w:ascii="Times New Roman" w:hAnsi="Times New Roman"/>
      <w:kern w:val="2"/>
      <w:sz w:val="28"/>
      <w:szCs w:val="24"/>
    </w:rPr>
  </w:style>
  <w:style w:type="paragraph" w:customStyle="1" w:styleId="112">
    <w:name w:val="样式1"/>
    <w:basedOn w:val="1"/>
    <w:link w:val="111"/>
    <w:uiPriority w:val="0"/>
    <w:rPr>
      <w:sz w:val="28"/>
      <w:szCs w:val="24"/>
    </w:rPr>
  </w:style>
  <w:style w:type="character" w:customStyle="1" w:styleId="113">
    <w:name w:val="Reference"/>
    <w:uiPriority w:val="0"/>
    <w:rPr>
      <w:rFonts w:ascii="Arial" w:hAnsi="Arial"/>
      <w:sz w:val="20"/>
      <w:lang w:val="en-US" w:eastAsia="zh-CN"/>
    </w:rPr>
  </w:style>
  <w:style w:type="character" w:customStyle="1" w:styleId="114">
    <w:name w:val="样式2 Char Char"/>
    <w:link w:val="115"/>
    <w:uiPriority w:val="0"/>
    <w:rPr>
      <w:rFonts w:ascii="Times New Roman" w:hAnsi="Times New Roman"/>
      <w:kern w:val="2"/>
      <w:sz w:val="28"/>
      <w:szCs w:val="24"/>
    </w:rPr>
  </w:style>
  <w:style w:type="paragraph" w:customStyle="1" w:styleId="115">
    <w:name w:val="样式2"/>
    <w:basedOn w:val="112"/>
    <w:link w:val="114"/>
    <w:uiPriority w:val="0"/>
  </w:style>
  <w:style w:type="character" w:customStyle="1" w:styleId="116">
    <w:name w:val="发布"/>
    <w:uiPriority w:val="0"/>
    <w:rPr>
      <w:rFonts w:ascii="黑体" w:eastAsia="黑体"/>
      <w:spacing w:val="22"/>
      <w:w w:val="100"/>
      <w:position w:val="3"/>
      <w:sz w:val="28"/>
    </w:rPr>
  </w:style>
  <w:style w:type="character" w:customStyle="1" w:styleId="117">
    <w:name w:val="short_text"/>
    <w:basedOn w:val="77"/>
    <w:uiPriority w:val="0"/>
  </w:style>
  <w:style w:type="character" w:customStyle="1" w:styleId="118">
    <w:name w:val="标题 Char"/>
    <w:link w:val="58"/>
    <w:uiPriority w:val="0"/>
    <w:rPr>
      <w:rFonts w:ascii="Arial" w:hAnsi="Arial"/>
      <w:b/>
      <w:kern w:val="2"/>
      <w:sz w:val="32"/>
    </w:rPr>
  </w:style>
  <w:style w:type="character" w:customStyle="1" w:styleId="119">
    <w:name w:val="样式1 样式 标题 2 + 段前: 0行 Char Char"/>
    <w:uiPriority w:val="0"/>
    <w:rPr>
      <w:rFonts w:eastAsia="黑体"/>
      <w:b/>
      <w:kern w:val="2"/>
      <w:sz w:val="21"/>
      <w:lang w:val="en-US" w:eastAsia="zh-CN"/>
    </w:rPr>
  </w:style>
  <w:style w:type="character" w:customStyle="1" w:styleId="120">
    <w:name w:val="msoins"/>
    <w:uiPriority w:val="0"/>
    <w:rPr>
      <w:u w:val="single"/>
    </w:rPr>
  </w:style>
  <w:style w:type="character" w:customStyle="1" w:styleId="121">
    <w:name w:val="样式 a首行缩进:  2 字符 段前: 0 行 Char Char"/>
    <w:link w:val="122"/>
    <w:uiPriority w:val="0"/>
    <w:rPr>
      <w:sz w:val="21"/>
    </w:rPr>
  </w:style>
  <w:style w:type="paragraph" w:customStyle="1" w:styleId="122">
    <w:name w:val="样式 a首行缩进:  2 字符 段前: 0 行"/>
    <w:basedOn w:val="1"/>
    <w:link w:val="121"/>
    <w:uiPriority w:val="0"/>
    <w:pPr>
      <w:adjustRightInd w:val="0"/>
      <w:spacing w:afterLines="50"/>
      <w:jc w:val="left"/>
      <w:textAlignment w:val="baseline"/>
    </w:pPr>
    <w:rPr>
      <w:kern w:val="0"/>
    </w:rPr>
  </w:style>
  <w:style w:type="character" w:customStyle="1" w:styleId="123">
    <w:name w:val="样式 正文缩进正文缩进 Char正文（首行缩进两字） Char Char正文（首行缩进两字） Char1正文（首行缩进两...1 Char Char"/>
    <w:link w:val="124"/>
    <w:uiPriority w:val="0"/>
    <w:rPr>
      <w:kern w:val="2"/>
      <w:sz w:val="21"/>
    </w:rPr>
  </w:style>
  <w:style w:type="paragraph" w:customStyle="1" w:styleId="124">
    <w:name w:val="样式 正文缩进正文缩进 Char正文（首行缩进两字） Char Char正文（首行缩进两字） Char1正文（首行缩进两...1"/>
    <w:basedOn w:val="1"/>
    <w:link w:val="123"/>
    <w:uiPriority w:val="0"/>
    <w:pPr>
      <w:spacing w:beforeLines="10" w:line="312" w:lineRule="auto"/>
      <w:ind w:firstLine="200" w:firstLineChars="200"/>
    </w:pPr>
  </w:style>
  <w:style w:type="character" w:customStyle="1" w:styleId="125">
    <w:name w:val="纯文本 Char"/>
    <w:link w:val="42"/>
    <w:uiPriority w:val="0"/>
    <w:rPr>
      <w:rFonts w:ascii="宋体" w:hAnsi="Courier New"/>
      <w:kern w:val="2"/>
      <w:sz w:val="21"/>
    </w:rPr>
  </w:style>
  <w:style w:type="character" w:customStyle="1" w:styleId="126">
    <w:name w:val="标题 8 Char"/>
    <w:link w:val="11"/>
    <w:uiPriority w:val="0"/>
    <w:rPr>
      <w:rFonts w:ascii="宋体" w:hAnsi="Times New Roman"/>
      <w:b/>
      <w:sz w:val="21"/>
    </w:rPr>
  </w:style>
  <w:style w:type="character" w:customStyle="1" w:styleId="12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28">
    <w:name w:val="批注文字 Char1"/>
    <w:uiPriority w:val="0"/>
    <w:rPr>
      <w:sz w:val="24"/>
    </w:rPr>
  </w:style>
  <w:style w:type="character" w:customStyle="1" w:styleId="129">
    <w:name w:val="文档结构图 Char"/>
    <w:link w:val="26"/>
    <w:uiPriority w:val="0"/>
    <w:rPr>
      <w:rFonts w:ascii="Times New Roman" w:hAnsi="Times New Roman"/>
      <w:kern w:val="2"/>
      <w:sz w:val="21"/>
      <w:shd w:val="clear" w:color="auto" w:fill="000080"/>
    </w:rPr>
  </w:style>
  <w:style w:type="character" w:customStyle="1" w:styleId="130">
    <w:name w:val="HTML 预设格式 Char"/>
    <w:link w:val="69"/>
    <w:uiPriority w:val="0"/>
    <w:rPr>
      <w:rFonts w:ascii="Courier New" w:hAnsi="Courier New"/>
      <w:kern w:val="2"/>
    </w:rPr>
  </w:style>
  <w:style w:type="character" w:customStyle="1" w:styleId="131">
    <w:name w:val="style251"/>
    <w:uiPriority w:val="0"/>
    <w:rPr>
      <w:rFonts w:eastAsia="宋体"/>
      <w:kern w:val="2"/>
      <w:sz w:val="21"/>
      <w:lang w:val="en-US" w:eastAsia="zh-CN"/>
    </w:rPr>
  </w:style>
  <w:style w:type="character" w:customStyle="1" w:styleId="132">
    <w:name w:val="样式1 悬挂缩进: 4 字符 段前: 0.1 行，小五 Char Char"/>
    <w:link w:val="133"/>
    <w:uiPriority w:val="0"/>
    <w:rPr>
      <w:kern w:val="2"/>
      <w:sz w:val="18"/>
    </w:rPr>
  </w:style>
  <w:style w:type="paragraph" w:customStyle="1" w:styleId="133">
    <w:name w:val="样式1 悬挂缩进: 4 字符 段前: 0.1 行，小五"/>
    <w:basedOn w:val="1"/>
    <w:link w:val="132"/>
    <w:uiPriority w:val="0"/>
    <w:pPr>
      <w:spacing w:beforeLines="10" w:line="312" w:lineRule="auto"/>
      <w:ind w:left="400" w:leftChars="400"/>
    </w:pPr>
    <w:rPr>
      <w:sz w:val="18"/>
    </w:rPr>
  </w:style>
  <w:style w:type="character" w:customStyle="1" w:styleId="13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5"/>
    <w:uiPriority w:val="0"/>
    <w:rPr>
      <w:rFonts w:ascii="Times New Roman" w:hAnsi="Times New Roman"/>
      <w:kern w:val="2"/>
      <w:sz w:val="28"/>
      <w:szCs w:val="24"/>
    </w:rPr>
  </w:style>
  <w:style w:type="paragraph" w:customStyle="1" w:styleId="135">
    <w:name w:val="正文1"/>
    <w:basedOn w:val="112"/>
    <w:link w:val="134"/>
    <w:uiPriority w:val="0"/>
  </w:style>
  <w:style w:type="character" w:customStyle="1" w:styleId="136">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7">
    <w:name w:val="注释标题 Char"/>
    <w:link w:val="18"/>
    <w:uiPriority w:val="0"/>
    <w:rPr>
      <w:rFonts w:ascii="Arial" w:hAnsi="Arial" w:eastAsia="黑体"/>
      <w:kern w:val="2"/>
      <w:sz w:val="21"/>
    </w:rPr>
  </w:style>
  <w:style w:type="character" w:customStyle="1" w:styleId="138">
    <w:name w:val="批注主题 Char"/>
    <w:link w:val="73"/>
    <w:qFormat/>
    <w:uiPriority w:val="0"/>
    <w:rPr>
      <w:b/>
      <w:bCs/>
      <w:kern w:val="2"/>
      <w:sz w:val="21"/>
    </w:rPr>
  </w:style>
  <w:style w:type="character" w:customStyle="1" w:styleId="139">
    <w:name w:val="正文首行缩进 Char"/>
    <w:link w:val="2"/>
    <w:uiPriority w:val="0"/>
    <w:rPr>
      <w:rFonts w:ascii="Times New Roman" w:hAnsi="Times New Roman"/>
      <w:kern w:val="2"/>
      <w:sz w:val="21"/>
    </w:rPr>
  </w:style>
  <w:style w:type="character" w:customStyle="1" w:styleId="140">
    <w:name w:val="样式 样式 正文缩进正文缩进 Char正文（首行缩进两字） Char Char正文（首行缩进两字） Char1正文（首行缩进两.... Char Char"/>
    <w:basedOn w:val="123"/>
    <w:link w:val="141"/>
    <w:uiPriority w:val="0"/>
  </w:style>
  <w:style w:type="paragraph" w:customStyle="1" w:styleId="141">
    <w:name w:val="样式 样式 正文缩进正文缩进 Char正文（首行缩进两字） Char Char正文（首行缩进两字） Char1正文（首行缩进两...."/>
    <w:basedOn w:val="124"/>
    <w:link w:val="140"/>
    <w:uiPriority w:val="0"/>
    <w:pPr>
      <w:spacing w:line="300" w:lineRule="auto"/>
    </w:pPr>
    <w:rPr>
      <w:rFonts w:ascii="Calibri" w:hAnsi="Calibri"/>
    </w:rPr>
  </w:style>
  <w:style w:type="character" w:customStyle="1" w:styleId="142">
    <w:name w:val="正文文本 Char"/>
    <w:link w:val="31"/>
    <w:uiPriority w:val="0"/>
    <w:rPr>
      <w:rFonts w:ascii="Times New Roman" w:hAnsi="Times New Roman"/>
      <w:kern w:val="2"/>
    </w:rPr>
  </w:style>
  <w:style w:type="character" w:customStyle="1" w:styleId="143">
    <w:name w:val="段 Char Char"/>
    <w:link w:val="144"/>
    <w:uiPriority w:val="0"/>
    <w:rPr>
      <w:rFonts w:ascii="宋体"/>
      <w:sz w:val="21"/>
      <w:lang w:val="en-US" w:eastAsia="zh-CN" w:bidi="ar-SA"/>
    </w:rPr>
  </w:style>
  <w:style w:type="paragraph" w:customStyle="1" w:styleId="144">
    <w:name w:val="段"/>
    <w:link w:val="143"/>
    <w:uiPriority w:val="0"/>
    <w:pPr>
      <w:autoSpaceDE w:val="0"/>
      <w:autoSpaceDN w:val="0"/>
      <w:ind w:firstLine="200" w:firstLineChars="200"/>
      <w:jc w:val="both"/>
    </w:pPr>
    <w:rPr>
      <w:rFonts w:ascii="宋体"/>
      <w:sz w:val="21"/>
      <w:lang w:val="en-US" w:eastAsia="zh-CN" w:bidi="ar-SA"/>
    </w:rPr>
  </w:style>
  <w:style w:type="character" w:customStyle="1" w:styleId="145">
    <w:name w:val="标题 6 Char"/>
    <w:link w:val="9"/>
    <w:uiPriority w:val="0"/>
    <w:rPr>
      <w:rFonts w:ascii="Arial" w:hAnsi="Arial" w:eastAsia="黑体"/>
      <w:b/>
      <w:kern w:val="2"/>
      <w:sz w:val="24"/>
    </w:rPr>
  </w:style>
  <w:style w:type="character" w:customStyle="1" w:styleId="146">
    <w:name w:val="脚注文本 Char"/>
    <w:link w:val="59"/>
    <w:uiPriority w:val="0"/>
    <w:rPr>
      <w:rFonts w:ascii="Times New Roman" w:hAnsi="Times New Roman"/>
      <w:kern w:val="2"/>
      <w:sz w:val="18"/>
    </w:rPr>
  </w:style>
  <w:style w:type="character" w:customStyle="1" w:styleId="147">
    <w:name w:val="宏文本 Char"/>
    <w:link w:val="3"/>
    <w:uiPriority w:val="0"/>
    <w:rPr>
      <w:rFonts w:ascii="Courier New" w:hAnsi="Courier New"/>
      <w:sz w:val="21"/>
    </w:rPr>
  </w:style>
  <w:style w:type="character" w:customStyle="1" w:styleId="148">
    <w:name w:val="尾注文本 Char"/>
    <w:link w:val="47"/>
    <w:uiPriority w:val="0"/>
    <w:rPr>
      <w:rFonts w:ascii="Arial" w:hAnsi="Arial"/>
      <w:sz w:val="18"/>
    </w:rPr>
  </w:style>
  <w:style w:type="character" w:customStyle="1" w:styleId="149">
    <w:name w:val="short_text1"/>
    <w:uiPriority w:val="0"/>
    <w:rPr>
      <w:sz w:val="29"/>
    </w:rPr>
  </w:style>
  <w:style w:type="character" w:customStyle="1" w:styleId="150">
    <w:name w:val="样式 正文（首行缩进两字） Char + Times New Roman Char Char"/>
    <w:basedOn w:val="151"/>
    <w:link w:val="153"/>
    <w:uiPriority w:val="0"/>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paragraph" w:customStyle="1" w:styleId="153">
    <w:name w:val="样式 正文（首行缩进两字） Char + Times New Roman"/>
    <w:basedOn w:val="152"/>
    <w:link w:val="150"/>
    <w:uiPriority w:val="0"/>
    <w:pPr>
      <w:ind w:firstLine="0" w:firstLineChars="0"/>
      <w:jc w:val="center"/>
    </w:pPr>
    <w:rPr>
      <w:rFonts w:ascii="Calibri" w:hAnsi="Calibri"/>
    </w:rPr>
  </w:style>
  <w:style w:type="character" w:customStyle="1" w:styleId="154">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5">
    <w:name w:val="正文文本缩进 2 Char"/>
    <w:link w:val="46"/>
    <w:uiPriority w:val="0"/>
    <w:rPr>
      <w:rFonts w:ascii="Times New Roman" w:hAnsi="Times New Roman"/>
      <w:kern w:val="2"/>
      <w:sz w:val="21"/>
    </w:rPr>
  </w:style>
  <w:style w:type="character" w:customStyle="1" w:styleId="156">
    <w:name w:val="标题 7 Char"/>
    <w:link w:val="10"/>
    <w:uiPriority w:val="0"/>
    <w:rPr>
      <w:rFonts w:ascii="Times New Roman" w:hAnsi="Times New Roman"/>
      <w:b/>
      <w:kern w:val="2"/>
      <w:sz w:val="24"/>
    </w:rPr>
  </w:style>
  <w:style w:type="character" w:customStyle="1" w:styleId="157">
    <w:name w:val="样式 样式 Times New Roman 首行缩进:  0.74 厘米 段前: 0行 行距1.15 + (符号) Tim... Char Char"/>
    <w:basedOn w:val="158"/>
    <w:link w:val="160"/>
    <w:uiPriority w:val="0"/>
  </w:style>
  <w:style w:type="character" w:customStyle="1" w:styleId="158">
    <w:name w:val="样式 Times New Roman 首行缩进:  0.74 厘米 段前: 0.1 行 行距1.15 Char Char"/>
    <w:link w:val="159"/>
    <w:uiPriority w:val="0"/>
    <w:rPr>
      <w:rFonts w:hAnsi="宋体"/>
      <w:kern w:val="2"/>
      <w:sz w:val="21"/>
    </w:rPr>
  </w:style>
  <w:style w:type="paragraph" w:customStyle="1" w:styleId="159">
    <w:name w:val="样式 Times New Roman 首行缩进:  0.74 厘米 段前: 0.1 行 行距1.15"/>
    <w:basedOn w:val="1"/>
    <w:link w:val="158"/>
    <w:uiPriority w:val="0"/>
    <w:pPr>
      <w:spacing w:line="276" w:lineRule="auto"/>
      <w:ind w:firstLine="420"/>
    </w:pPr>
    <w:rPr>
      <w:rFonts w:hAnsi="宋体"/>
    </w:rPr>
  </w:style>
  <w:style w:type="paragraph" w:customStyle="1" w:styleId="160">
    <w:name w:val="样式 样式 Times New Roman 首行缩进:  0.74 厘米 段前: 0行 行距1.15 + (符号) Tim..."/>
    <w:basedOn w:val="159"/>
    <w:link w:val="157"/>
    <w:uiPriority w:val="0"/>
  </w:style>
  <w:style w:type="character" w:customStyle="1" w:styleId="161">
    <w:name w:val="表头 Char"/>
    <w:link w:val="162"/>
    <w:uiPriority w:val="0"/>
    <w:rPr>
      <w:rFonts w:ascii="Times New Roman" w:hAnsi="Times New Roman" w:eastAsia="黑体"/>
      <w:kern w:val="2"/>
      <w:sz w:val="21"/>
      <w:szCs w:val="21"/>
    </w:rPr>
  </w:style>
  <w:style w:type="paragraph" w:customStyle="1" w:styleId="162">
    <w:name w:val="表头"/>
    <w:basedOn w:val="1"/>
    <w:link w:val="161"/>
    <w:uiPriority w:val="0"/>
    <w:pPr>
      <w:topLinePunct/>
      <w:spacing w:before="160" w:after="60"/>
      <w:jc w:val="center"/>
    </w:pPr>
    <w:rPr>
      <w:rFonts w:eastAsia="黑体"/>
      <w:szCs w:val="21"/>
    </w:rPr>
  </w:style>
  <w:style w:type="character" w:customStyle="1" w:styleId="163">
    <w:name w:val="标题 2 Char"/>
    <w:link w:val="5"/>
    <w:uiPriority w:val="0"/>
    <w:rPr>
      <w:rFonts w:ascii="Arial" w:hAnsi="Arial" w:eastAsia="黑体"/>
      <w:sz w:val="32"/>
    </w:rPr>
  </w:style>
  <w:style w:type="character" w:customStyle="1" w:styleId="164">
    <w:name w:val="Char Char2"/>
    <w:uiPriority w:val="0"/>
    <w:rPr>
      <w:rFonts w:ascii="Arial" w:hAnsi="Arial" w:eastAsia="宋体"/>
      <w:kern w:val="2"/>
      <w:sz w:val="21"/>
      <w:lang w:val="en-US" w:eastAsia="zh-CN"/>
    </w:rPr>
  </w:style>
  <w:style w:type="character" w:customStyle="1" w:styleId="165">
    <w:name w:val="批注框文本 Char"/>
    <w:link w:val="49"/>
    <w:qFormat/>
    <w:uiPriority w:val="0"/>
    <w:rPr>
      <w:kern w:val="2"/>
      <w:sz w:val="18"/>
      <w:szCs w:val="18"/>
    </w:rPr>
  </w:style>
  <w:style w:type="character" w:customStyle="1" w:styleId="166">
    <w:name w:val="_标准条文 Char Char"/>
    <w:link w:val="167"/>
    <w:uiPriority w:val="0"/>
    <w:rPr>
      <w:rFonts w:ascii="Arial" w:hAnsi="Arial"/>
      <w:kern w:val="2"/>
      <w:sz w:val="21"/>
    </w:rPr>
  </w:style>
  <w:style w:type="paragraph" w:customStyle="1" w:styleId="167">
    <w:name w:val="_标准条文"/>
    <w:basedOn w:val="1"/>
    <w:link w:val="166"/>
    <w:uiPriority w:val="0"/>
    <w:pPr>
      <w:overflowPunct w:val="0"/>
      <w:snapToGrid w:val="0"/>
      <w:spacing w:line="276" w:lineRule="auto"/>
      <w:ind w:firstLine="420" w:firstLineChars="200"/>
    </w:pPr>
    <w:rPr>
      <w:rFonts w:ascii="Arial" w:hAnsi="Arial"/>
    </w:rPr>
  </w:style>
  <w:style w:type="character" w:customStyle="1" w:styleId="168">
    <w:name w:val="个人答复风格"/>
    <w:uiPriority w:val="0"/>
    <w:rPr>
      <w:rFonts w:ascii="Arial" w:hAnsi="Arial" w:eastAsia="宋体"/>
      <w:color w:val="auto"/>
      <w:sz w:val="20"/>
    </w:rPr>
  </w:style>
  <w:style w:type="character" w:customStyle="1" w:styleId="169">
    <w:name w:val="标题 1 Char Char"/>
    <w:uiPriority w:val="0"/>
    <w:rPr>
      <w:rFonts w:eastAsia="黑体"/>
      <w:kern w:val="44"/>
      <w:sz w:val="28"/>
      <w:szCs w:val="28"/>
      <w:lang w:val="en-US" w:eastAsia="zh-CN" w:bidi="ar-SA"/>
    </w:rPr>
  </w:style>
  <w:style w:type="character" w:customStyle="1" w:styleId="170">
    <w:name w:val="标题 3 Char"/>
    <w:link w:val="6"/>
    <w:qFormat/>
    <w:uiPriority w:val="0"/>
    <w:rPr>
      <w:rFonts w:ascii="宋体" w:hAnsi="宋体" w:cs="宋体"/>
      <w:b/>
      <w:bCs/>
      <w:sz w:val="27"/>
      <w:szCs w:val="27"/>
    </w:rPr>
  </w:style>
  <w:style w:type="character" w:customStyle="1" w:styleId="171">
    <w:name w:val="SoDA Field"/>
    <w:uiPriority w:val="0"/>
    <w:rPr>
      <w:color w:val="0000FF"/>
    </w:rPr>
  </w:style>
  <w:style w:type="character" w:customStyle="1" w:styleId="172">
    <w:name w:val="批注文字 Char"/>
    <w:link w:val="27"/>
    <w:qFormat/>
    <w:uiPriority w:val="0"/>
    <w:rPr>
      <w:kern w:val="2"/>
      <w:sz w:val="21"/>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样式 正文（首行缩进两字） Char + 加粗 Char Char"/>
    <w:uiPriority w:val="0"/>
    <w:rPr>
      <w:rFonts w:eastAsia="宋体"/>
      <w:b/>
      <w:kern w:val="2"/>
      <w:sz w:val="21"/>
      <w:lang w:val="en-US" w:eastAsia="zh-CN"/>
    </w:rPr>
  </w:style>
  <w:style w:type="character" w:customStyle="1" w:styleId="175">
    <w:name w:val="表头 Char Char"/>
    <w:uiPriority w:val="0"/>
    <w:rPr>
      <w:rFonts w:eastAsia="黑体"/>
      <w:kern w:val="2"/>
      <w:sz w:val="21"/>
      <w:szCs w:val="21"/>
      <w:lang w:val="en-US" w:eastAsia="zh-CN" w:bidi="ar-SA"/>
    </w:rPr>
  </w:style>
  <w:style w:type="character" w:customStyle="1" w:styleId="176">
    <w:name w:val="样式 标题 2 + 五号 Char Char"/>
    <w:uiPriority w:val="0"/>
    <w:rPr>
      <w:rFonts w:eastAsia="黑体"/>
      <w:bCs/>
      <w:kern w:val="2"/>
      <w:sz w:val="21"/>
      <w:szCs w:val="21"/>
      <w:lang w:val="en-US" w:eastAsia="zh-CN" w:bidi="ar-SA"/>
    </w:rPr>
  </w:style>
  <w:style w:type="character" w:customStyle="1" w:styleId="177">
    <w:name w:val="正文文本缩进 Char"/>
    <w:link w:val="32"/>
    <w:uiPriority w:val="0"/>
    <w:rPr>
      <w:b/>
      <w:kern w:val="2"/>
      <w:sz w:val="30"/>
    </w:rPr>
  </w:style>
  <w:style w:type="character" w:customStyle="1" w:styleId="178">
    <w:name w:val="着重强调"/>
    <w:uiPriority w:val="0"/>
    <w:rPr>
      <w:rFonts w:ascii="Arial" w:hAnsi="Arial"/>
      <w:b/>
      <w:spacing w:val="-4"/>
    </w:rPr>
  </w:style>
  <w:style w:type="character" w:customStyle="1" w:styleId="179">
    <w:name w:val="正文文本 3 Char1"/>
    <w:semiHidden/>
    <w:uiPriority w:val="99"/>
    <w:rPr>
      <w:rFonts w:ascii="Times New Roman" w:hAnsi="Times New Roman"/>
      <w:kern w:val="2"/>
      <w:sz w:val="16"/>
      <w:szCs w:val="16"/>
    </w:rPr>
  </w:style>
  <w:style w:type="character" w:customStyle="1" w:styleId="180">
    <w:name w:val="上标"/>
    <w:uiPriority w:val="0"/>
    <w:rPr>
      <w:b/>
      <w:vertAlign w:val="superscript"/>
    </w:rPr>
  </w:style>
  <w:style w:type="character" w:customStyle="1" w:styleId="181">
    <w:name w:val="日期 Char"/>
    <w:link w:val="45"/>
    <w:uiPriority w:val="0"/>
    <w:rPr>
      <w:rFonts w:ascii="Arial" w:hAnsi="Arial"/>
      <w:kern w:val="2"/>
      <w:sz w:val="21"/>
    </w:rPr>
  </w:style>
  <w:style w:type="character" w:customStyle="1" w:styleId="182">
    <w:name w:val="样式 标题 1 + 加粗 Char Char"/>
    <w:uiPriority w:val="0"/>
    <w:rPr>
      <w:rFonts w:eastAsia="黑体"/>
      <w:b/>
      <w:bCs/>
      <w:kern w:val="44"/>
      <w:sz w:val="28"/>
      <w:szCs w:val="28"/>
      <w:lang w:val="en-US" w:eastAsia="zh-CN" w:bidi="ar-SA"/>
    </w:rPr>
  </w:style>
  <w:style w:type="character" w:customStyle="1" w:styleId="183">
    <w:name w:val="样式1 Char Char"/>
    <w:uiPriority w:val="0"/>
    <w:rPr>
      <w:rFonts w:ascii="Times New Roman" w:hAnsi="Times New Roman" w:eastAsia="宋体" w:cs="宋体"/>
      <w:b/>
      <w:kern w:val="44"/>
      <w:sz w:val="52"/>
      <w:szCs w:val="52"/>
    </w:rPr>
  </w:style>
  <w:style w:type="character" w:customStyle="1" w:styleId="184">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5">
    <w:name w:val="页脚 Char"/>
    <w:link w:val="50"/>
    <w:qFormat/>
    <w:locked/>
    <w:uiPriority w:val="0"/>
    <w:rPr>
      <w:rFonts w:ascii="Times New Roman" w:hAnsi="Times New Roman" w:eastAsia="宋体" w:cs="Times New Roman"/>
      <w:sz w:val="18"/>
      <w:szCs w:val="18"/>
    </w:rPr>
  </w:style>
  <w:style w:type="character" w:customStyle="1" w:styleId="186">
    <w:name w:val="标题 1 Char"/>
    <w:link w:val="4"/>
    <w:uiPriority w:val="0"/>
    <w:rPr>
      <w:rFonts w:ascii="Times New Roman" w:hAnsi="Times New Roman"/>
      <w:color w:val="000000"/>
      <w:kern w:val="2"/>
      <w:sz w:val="24"/>
    </w:rPr>
  </w:style>
  <w:style w:type="character" w:customStyle="1" w:styleId="187">
    <w:name w:val="纯文本 Char1"/>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2"/>
    <w:link w:val="192"/>
    <w:uiPriority w:val="0"/>
    <w:rPr>
      <w:rFonts w:eastAsia="黑体"/>
    </w:rPr>
  </w:style>
  <w:style w:type="character" w:customStyle="1" w:styleId="194">
    <w:name w:val="标语"/>
    <w:uiPriority w:val="0"/>
    <w:rPr>
      <w:i/>
      <w:spacing w:val="-6"/>
      <w:sz w:val="24"/>
    </w:rPr>
  </w:style>
  <w:style w:type="character" w:customStyle="1" w:styleId="195">
    <w:name w:val="页眉 Char"/>
    <w:link w:val="51"/>
    <w:semiHidden/>
    <w:qFormat/>
    <w:locked/>
    <w:uiPriority w:val="99"/>
    <w:rPr>
      <w:rFonts w:ascii="Times New Roman" w:hAnsi="Times New Roman" w:eastAsia="宋体" w:cs="Times New Roman"/>
      <w:sz w:val="18"/>
      <w:szCs w:val="18"/>
    </w:rPr>
  </w:style>
  <w:style w:type="character" w:customStyle="1" w:styleId="196">
    <w:name w:val="朱2 Char Char"/>
    <w:basedOn w:val="114"/>
    <w:link w:val="197"/>
    <w:uiPriority w:val="0"/>
  </w:style>
  <w:style w:type="paragraph" w:customStyle="1" w:styleId="197">
    <w:name w:val="朱2"/>
    <w:basedOn w:val="115"/>
    <w:link w:val="196"/>
    <w:uiPriority w:val="0"/>
    <w:pPr>
      <w:topLinePunct/>
      <w:adjustRightInd w:val="0"/>
      <w:spacing w:line="312" w:lineRule="exact"/>
    </w:pPr>
  </w:style>
  <w:style w:type="character" w:customStyle="1" w:styleId="198">
    <w:name w:val="副标题 Char"/>
    <w:link w:val="57"/>
    <w:uiPriority w:val="0"/>
    <w:rPr>
      <w:rFonts w:ascii="Arial" w:hAnsi="Arial" w:eastAsia="黑体"/>
      <w:kern w:val="2"/>
      <w:sz w:val="48"/>
    </w:rPr>
  </w:style>
  <w:style w:type="character" w:customStyle="1" w:styleId="199">
    <w:name w:val="标题 9 Char"/>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link w:val="207"/>
    <w:uiPriority w:val="0"/>
    <w:rPr>
      <w:rFonts w:eastAsia="黑体"/>
      <w:b/>
      <w:kern w:val="2"/>
      <w:sz w:val="21"/>
      <w:lang w:val="en-US" w:eastAsia="zh-CN"/>
    </w:rPr>
  </w:style>
  <w:style w:type="paragraph" w:customStyle="1" w:styleId="207">
    <w:name w:val="样式 样式 样式 标题 2 + 段前: 0.1 行 + 段前: 0.1 行 + Times New Roman"/>
    <w:basedOn w:val="208"/>
    <w:link w:val="206"/>
    <w:uiPriority w:val="0"/>
    <w:pPr>
      <w:tabs>
        <w:tab w:val="left" w:pos="500"/>
      </w:tabs>
      <w:spacing w:beforeLines="50" w:afterLines="50" w:line="240" w:lineRule="auto"/>
    </w:pPr>
    <w:rPr>
      <w:rFonts w:eastAsia="黑体"/>
      <w:lang w:val="en-US" w:eastAsia="zh-CN"/>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4"/>
    <w:uiPriority w:val="0"/>
    <w:pPr>
      <w:outlineLvl w:val="4"/>
    </w:pPr>
  </w:style>
  <w:style w:type="paragraph" w:customStyle="1" w:styleId="212">
    <w:name w:val="附录二级条标题"/>
    <w:basedOn w:val="213"/>
    <w:next w:val="144"/>
    <w:uiPriority w:val="0"/>
    <w:pPr>
      <w:outlineLvl w:val="3"/>
    </w:pPr>
  </w:style>
  <w:style w:type="paragraph" w:customStyle="1" w:styleId="213">
    <w:name w:val="附录一级条标题"/>
    <w:basedOn w:val="214"/>
    <w:next w:val="144"/>
    <w:uiPriority w:val="0"/>
    <w:pPr>
      <w:autoSpaceDN w:val="0"/>
      <w:spacing w:beforeLines="0" w:afterLines="0"/>
      <w:outlineLvl w:val="2"/>
    </w:pPr>
  </w:style>
  <w:style w:type="paragraph" w:customStyle="1" w:styleId="214">
    <w:name w:val="附录章标题"/>
    <w:next w:val="14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4"/>
    <w:uiPriority w:val="0"/>
    <w:pPr>
      <w:tabs>
        <w:tab w:val="left" w:pos="-1080"/>
      </w:tabs>
      <w:outlineLvl w:val="6"/>
    </w:pPr>
  </w:style>
  <w:style w:type="paragraph" w:customStyle="1" w:styleId="226">
    <w:name w:val="四级条标题"/>
    <w:basedOn w:val="227"/>
    <w:next w:val="144"/>
    <w:uiPriority w:val="0"/>
    <w:pPr>
      <w:tabs>
        <w:tab w:val="left" w:pos="-1080"/>
      </w:tabs>
      <w:outlineLvl w:val="5"/>
    </w:pPr>
  </w:style>
  <w:style w:type="paragraph" w:customStyle="1" w:styleId="227">
    <w:name w:val="三级条标题"/>
    <w:basedOn w:val="228"/>
    <w:next w:val="14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4"/>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4"/>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36">
    <w:name w:val="附录表标题"/>
    <w:next w:val="14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2"/>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52">
    <w:name w:val="样式1 样式 标题 5 + 段前: 0 行"/>
    <w:basedOn w:val="253"/>
    <w:next w:val="1"/>
    <w:uiPriority w:val="0"/>
    <w:pPr>
      <w:tabs>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2"/>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73">
    <w:name w:val="引言一级条标题"/>
    <w:basedOn w:val="1"/>
    <w:next w:val="144"/>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2"/>
    <w:uiPriority w:val="0"/>
    <w:pPr>
      <w:spacing w:before="24" w:afterLines="10"/>
      <w:ind w:firstLine="200"/>
    </w:pPr>
    <w:rPr>
      <w:color w:val="000000"/>
    </w:rPr>
  </w:style>
  <w:style w:type="paragraph" w:customStyle="1" w:styleId="276">
    <w:name w:val="注：（正文）"/>
    <w:basedOn w:val="277"/>
    <w:next w:val="144"/>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78">
    <w:name w:val="术语定义二级条标题"/>
    <w:basedOn w:val="279"/>
    <w:next w:val="144"/>
    <w:uiPriority w:val="0"/>
    <w:pPr>
      <w:tabs>
        <w:tab w:val="left" w:pos="420"/>
        <w:tab w:val="left" w:pos="1155"/>
      </w:tabs>
      <w:ind w:left="1155"/>
    </w:pPr>
  </w:style>
  <w:style w:type="paragraph" w:customStyle="1" w:styleId="279">
    <w:name w:val="术语定义条标题"/>
    <w:basedOn w:val="258"/>
    <w:next w:val="14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2"/>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4"/>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08">
    <w:name w:val="样式 样式 正文缩进正文缩进 Char正文（首行缩进两字） Char Char正文（首行缩进两字） Char1正文（首行缩进两....1"/>
    <w:basedOn w:val="124"/>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2"/>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2"/>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323">
    <w:name w:val="式中"/>
    <w:next w:val="144"/>
    <w:uiPriority w:val="0"/>
    <w:pPr>
      <w:numPr>
        <w:ilvl w:val="0"/>
        <w:numId w:val="8"/>
      </w:numPr>
      <w:tabs>
        <w:tab w:val="left" w:pos="210"/>
      </w:tabs>
    </w:pPr>
    <w:rPr>
      <w:rFonts w:ascii="宋体"/>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4"/>
    <w:uiPriority w:val="0"/>
    <w:pPr>
      <w:outlineLvl w:val="6"/>
    </w:pPr>
  </w:style>
  <w:style w:type="paragraph" w:customStyle="1" w:styleId="335">
    <w:name w:val="附录四级条标题"/>
    <w:basedOn w:val="211"/>
    <w:next w:val="144"/>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37">
    <w:name w:val="引言二级条标题"/>
    <w:basedOn w:val="273"/>
    <w:next w:val="144"/>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2"/>
    <w:uiPriority w:val="0"/>
    <w:pPr>
      <w:spacing w:afterLines="10" w:line="300" w:lineRule="auto"/>
      <w:ind w:firstLine="200"/>
    </w:pPr>
  </w:style>
  <w:style w:type="paragraph" w:customStyle="1" w:styleId="344">
    <w:name w:val="正文表标题"/>
    <w:next w:val="1"/>
    <w:uiPriority w:val="0"/>
    <w:pPr>
      <w:jc w:val="center"/>
    </w:pPr>
    <w:rPr>
      <w:rFonts w:ascii="黑体" w:eastAsia="黑体"/>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53">
    <w:name w:val="朱公式"/>
    <w:basedOn w:val="152"/>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2"/>
    <w:uiPriority w:val="0"/>
    <w:pPr>
      <w:spacing w:afterLines="10"/>
      <w:ind w:firstLine="200"/>
    </w:pPr>
  </w:style>
  <w:style w:type="paragraph" w:customStyle="1" w:styleId="377">
    <w:name w:val="_图表编号"/>
    <w:basedOn w:val="23"/>
    <w:next w:val="167"/>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4"/>
    <w:uiPriority w:val="0"/>
    <w:pPr>
      <w:tabs>
        <w:tab w:val="left" w:pos="1575"/>
        <w:tab w:val="clear" w:pos="735"/>
      </w:tabs>
      <w:ind w:left="1575"/>
    </w:pPr>
  </w:style>
  <w:style w:type="paragraph" w:customStyle="1" w:styleId="384">
    <w:name w:val="朱表头"/>
    <w:basedOn w:val="162"/>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4"/>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7">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4"/>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4"/>
    <w:uiPriority w:val="0"/>
    <w:pPr>
      <w:tabs>
        <w:tab w:val="left" w:pos="420"/>
        <w:tab w:val="left" w:pos="1620"/>
      </w:tabs>
      <w:spacing w:line="360" w:lineRule="auto"/>
      <w:ind w:left="1620" w:leftChars="600" w:hanging="360" w:hangingChars="200"/>
    </w:pPr>
    <w:rPr>
      <w:rFonts w:ascii="宋体" w:hAnsi="宋体" w:eastAsia="宋体"/>
    </w:rPr>
  </w:style>
  <w:style w:type="paragraph" w:styleId="441">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5"/>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4"/>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4"/>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4"/>
    <w:uiPriority w:val="0"/>
    <w:pPr>
      <w:jc w:val="both"/>
    </w:pPr>
    <w:rPr>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 w:type="paragraph" w:customStyle="1" w:styleId="518">
    <w:name w:val="正文_1_0_1"/>
    <w:basedOn w:val="332"/>
    <w:qFormat/>
    <w:uiPriority w:val="0"/>
    <w:rPr>
      <w:szCs w:val="21"/>
    </w:rPr>
  </w:style>
  <w:style w:type="paragraph" w:customStyle="1" w:styleId="519">
    <w:name w:val="正文_1_0_0_0"/>
    <w:qFormat/>
    <w:uiPriority w:val="0"/>
    <w:pPr>
      <w:widowControl w:val="0"/>
      <w:jc w:val="both"/>
    </w:pPr>
    <w:rPr>
      <w:rFonts w:ascii="Calibri" w:hAnsi="Calibri"/>
      <w:kern w:val="2"/>
      <w:sz w:val="21"/>
      <w:szCs w:val="22"/>
      <w:lang w:val="en-US" w:eastAsia="zh-CN" w:bidi="ar-SA"/>
    </w:rPr>
  </w:style>
  <w:style w:type="paragraph" w:customStyle="1" w:styleId="520">
    <w:name w:val="正文_12"/>
    <w:qFormat/>
    <w:uiPriority w:val="0"/>
    <w:pPr>
      <w:widowControl w:val="0"/>
      <w:jc w:val="both"/>
    </w:pPr>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2952</Words>
  <Characters>16833</Characters>
  <Lines>140</Lines>
  <Paragraphs>39</Paragraphs>
  <TotalTime>0</TotalTime>
  <ScaleCrop>false</ScaleCrop>
  <LinksUpToDate>false</LinksUpToDate>
  <CharactersWithSpaces>19746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2021-12-28T08:36:00Z</dcterms:created>
  <dc:creator>朱顺平</dc:creator>
  <cp:lastModifiedBy>何以为之而后快</cp:lastModifiedBy>
  <dcterms:modified xsi:type="dcterms:W3CDTF">2021-12-28T09:11:26Z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833E7EDD43C24E019F4AED358AFFC629</vt:lpwstr>
  </property>
</Properties>
</file>