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p>
    <w:p>
      <w:pPr>
        <w:jc w:val="center"/>
        <w:rPr>
          <w:rFonts w:hint="eastAsia" w:ascii="宋体" w:hAnsi="宋体"/>
          <w:b/>
          <w:bCs/>
          <w:sz w:val="44"/>
          <w:szCs w:val="44"/>
        </w:rPr>
      </w:pPr>
      <w:r>
        <w:rPr>
          <w:rFonts w:hint="eastAsia" w:ascii="宋体" w:hAnsi="宋体"/>
          <w:b/>
          <w:bCs/>
          <w:sz w:val="44"/>
          <w:szCs w:val="44"/>
        </w:rPr>
        <w:t>宜兴市公用建环资源循环利用有限公司</w:t>
      </w:r>
    </w:p>
    <w:p>
      <w:pPr>
        <w:jc w:val="center"/>
        <w:rPr>
          <w:rFonts w:hint="eastAsia" w:ascii="宋体" w:hAnsi="宋体"/>
          <w:b/>
          <w:bCs/>
          <w:sz w:val="44"/>
          <w:szCs w:val="44"/>
        </w:rPr>
      </w:pPr>
      <w:r>
        <w:rPr>
          <w:rFonts w:hint="eastAsia" w:ascii="宋体" w:hAnsi="宋体"/>
          <w:b/>
          <w:bCs/>
          <w:sz w:val="44"/>
          <w:szCs w:val="44"/>
        </w:rPr>
        <w:t>骨料出售（2021年第二批）项目</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hint="eastAsia"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:YXCYJT202109011</w:t>
      </w:r>
    </w:p>
    <w:p>
      <w:pPr>
        <w:jc w:val="center"/>
        <w:rPr>
          <w:rFonts w:ascii="宋体"/>
          <w:sz w:val="32"/>
        </w:rPr>
      </w:pPr>
      <w:r>
        <w:rPr>
          <w:rFonts w:hint="eastAsia" w:ascii="宋体" w:hAnsi="宋体"/>
          <w:sz w:val="32"/>
        </w:rPr>
        <w:t>采购人：宜兴市公用建环资源循环利用有限公司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二一年十月十一日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宜兴市公用建环资源循环利用有限公司</w:t>
      </w:r>
      <w:r>
        <w:rPr>
          <w:rFonts w:hint="eastAsia" w:ascii="宋体" w:hAnsi="宋体"/>
          <w:color w:val="000000"/>
          <w:sz w:val="24"/>
          <w:szCs w:val="24"/>
        </w:rPr>
        <w:t>对</w:t>
      </w:r>
      <w:r>
        <w:rPr>
          <w:rFonts w:hint="eastAsia" w:ascii="宋体"/>
          <w:sz w:val="24"/>
        </w:rPr>
        <w:t>骨料出售（2021年第二批）项目</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val="0"/>
            <w:vAlign w:val="center"/>
          </w:tcPr>
          <w:p>
            <w:pPr>
              <w:jc w:val="center"/>
              <w:rPr>
                <w:rFonts w:ascii="宋体" w:hAnsi="宋体"/>
                <w:bCs/>
                <w:sz w:val="18"/>
                <w:szCs w:val="18"/>
              </w:rPr>
            </w:pPr>
            <w:r>
              <w:rPr>
                <w:rFonts w:hint="eastAsia" w:ascii="宋体" w:hAnsi="宋体"/>
                <w:bCs/>
                <w:sz w:val="24"/>
                <w:szCs w:val="24"/>
              </w:rPr>
              <w:t>序号</w:t>
            </w:r>
          </w:p>
        </w:tc>
        <w:tc>
          <w:tcPr>
            <w:tcW w:w="8962" w:type="dxa"/>
            <w:noWrap w:val="0"/>
            <w:vAlign w:val="center"/>
          </w:tcPr>
          <w:p>
            <w:pPr>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129"/>
            </w:pPr>
            <w:bookmarkStart w:id="2" w:name="OLE_LINK192"/>
            <w:r>
              <w:rPr>
                <w:rFonts w:hint="eastAsia"/>
              </w:rPr>
              <w:t>出售方：宜兴市公用建环资源循环利用有限公司</w:t>
            </w:r>
          </w:p>
          <w:p>
            <w:pPr>
              <w:pStyle w:val="129"/>
            </w:pPr>
            <w:r>
              <w:rPr>
                <w:rFonts w:hint="eastAsia"/>
              </w:rPr>
              <w:t>项目名称：骨料出售（2021年第二批）项目</w:t>
            </w:r>
          </w:p>
          <w:p>
            <w:pPr>
              <w:pStyle w:val="129"/>
            </w:pPr>
            <w:r>
              <w:rPr>
                <w:rFonts w:hint="eastAsia"/>
              </w:rPr>
              <w:t>项目编号</w:t>
            </w:r>
            <w:r>
              <w:t>:YXCYJT202109011</w:t>
            </w:r>
          </w:p>
          <w:bookmarkEnd w:id="2"/>
          <w:p>
            <w:pPr>
              <w:jc w:val="left"/>
              <w:rPr>
                <w:rFonts w:hint="eastAsia" w:ascii="宋体" w:hAnsi="宋体"/>
                <w:sz w:val="24"/>
                <w:szCs w:val="28"/>
              </w:rPr>
            </w:pPr>
            <w:r>
              <w:rPr>
                <w:rFonts w:hint="eastAsia" w:ascii="宋体" w:hAnsi="宋体"/>
                <w:sz w:val="24"/>
                <w:szCs w:val="28"/>
              </w:rPr>
              <w:t>出售方式：竞价出售</w:t>
            </w:r>
          </w:p>
          <w:p>
            <w:pPr>
              <w:jc w:val="left"/>
              <w:rPr>
                <w:rFonts w:hint="eastAsia" w:ascii="宋体" w:hAnsi="宋体"/>
                <w:sz w:val="24"/>
                <w:szCs w:val="28"/>
              </w:rPr>
            </w:pPr>
            <w:r>
              <w:rPr>
                <w:rFonts w:hint="eastAsia" w:ascii="宋体" w:hAnsi="宋体"/>
                <w:sz w:val="24"/>
                <w:szCs w:val="28"/>
              </w:rPr>
              <w:t>评审方法：最高评标价法</w:t>
            </w:r>
          </w:p>
          <w:p>
            <w:pPr>
              <w:pStyle w:val="129"/>
            </w:pPr>
            <w:r>
              <w:rPr>
                <w:rFonts w:hint="eastAsia" w:hAnsi="宋体"/>
                <w:szCs w:val="28"/>
              </w:rPr>
              <w:t>本项目最低限价为：22元/吨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129"/>
            </w:pPr>
            <w:r>
              <w:rPr>
                <w:rFonts w:hint="eastAsia"/>
              </w:rPr>
              <w:t>2.1参加本次招标活动应具备下列资格条件：</w:t>
            </w:r>
          </w:p>
          <w:p>
            <w:pPr>
              <w:pStyle w:val="129"/>
            </w:pPr>
            <w:r>
              <w:rPr>
                <w:rFonts w:hint="eastAsia"/>
              </w:rPr>
              <w:t>①具有独立承担民事责任的能力；</w:t>
            </w:r>
          </w:p>
          <w:p>
            <w:pPr>
              <w:pStyle w:val="129"/>
              <w:rPr>
                <w:rFonts w:hint="eastAsia"/>
              </w:rPr>
            </w:pPr>
            <w:r>
              <w:rPr>
                <w:rFonts w:hint="eastAsia"/>
              </w:rPr>
              <w:t>②有依法缴纳税收的良好记录；</w:t>
            </w:r>
          </w:p>
          <w:p>
            <w:pPr>
              <w:pStyle w:val="129"/>
            </w:pPr>
            <w:r>
              <w:rPr>
                <w:rFonts w:hint="eastAsia"/>
              </w:rPr>
              <w:t>③具有履行合同所必需的设备和专业技术能力；</w:t>
            </w:r>
          </w:p>
          <w:p>
            <w:pPr>
              <w:pStyle w:val="129"/>
            </w:pPr>
            <w:r>
              <w:rPr>
                <w:rFonts w:hint="eastAsia"/>
              </w:rPr>
              <w:t>④不接受联合体，不接受成交后分包；</w:t>
            </w:r>
          </w:p>
          <w:p>
            <w:pPr>
              <w:pStyle w:val="129"/>
            </w:pPr>
            <w:r>
              <w:rPr>
                <w:rFonts w:hint="eastAsia"/>
              </w:rPr>
              <w:t>⑤无不良信用记录；</w:t>
            </w:r>
          </w:p>
          <w:p>
            <w:pPr>
              <w:pStyle w:val="129"/>
            </w:pPr>
            <w:r>
              <w:rPr>
                <w:rFonts w:hint="eastAsia"/>
              </w:rPr>
              <w:t>⑥营业执照经营范围需涵盖建筑材料销售资格。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129"/>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拒绝下述供应商参加本次投标活动：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rPr>
                <w:rFonts w:hAnsi="宋体"/>
                <w:bCs/>
                <w:szCs w:val="24"/>
                <w:lang w:val="zh-CN"/>
              </w:rPr>
            </w:pPr>
            <w:r>
              <w:rPr>
                <w:rFonts w:hint="eastAsia" w:ascii="宋体" w:hAnsi="宋体"/>
                <w:bCs/>
                <w:sz w:val="24"/>
                <w:szCs w:val="24"/>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962" w:type="dxa"/>
            <w:noWrap w:val="0"/>
            <w:vAlign w:val="center"/>
          </w:tcPr>
          <w:p>
            <w:pPr>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962" w:type="dxa"/>
            <w:noWrap w:val="0"/>
            <w:vAlign w:val="top"/>
          </w:tcPr>
          <w:p>
            <w:pPr>
              <w:rPr>
                <w:rFonts w:ascii="宋体" w:hAnsi="宋体"/>
                <w:bCs/>
                <w:sz w:val="24"/>
                <w:szCs w:val="21"/>
              </w:rPr>
            </w:pPr>
            <w:r>
              <w:rPr>
                <w:rFonts w:hint="eastAsia" w:ascii="宋体" w:hAnsi="宋体"/>
                <w:bCs/>
                <w:sz w:val="24"/>
                <w:szCs w:val="21"/>
              </w:rPr>
              <w:t>投标截止时间及开标时间：2021年10月18日 10：00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宜兴市公用建环资源循环利用有限公司</w:t>
            </w:r>
          </w:p>
          <w:p>
            <w:pPr>
              <w:rPr>
                <w:rFonts w:ascii="宋体" w:hAnsi="宋体"/>
                <w:bCs/>
                <w:sz w:val="24"/>
                <w:szCs w:val="21"/>
              </w:rPr>
            </w:pPr>
            <w:r>
              <w:rPr>
                <w:rFonts w:hint="eastAsia" w:ascii="宋体" w:hAnsi="宋体"/>
                <w:bCs/>
                <w:sz w:val="24"/>
                <w:szCs w:val="21"/>
              </w:rPr>
              <w:t>联系人：应先生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962" w:type="dxa"/>
            <w:noWrap w:val="0"/>
            <w:vAlign w:val="top"/>
          </w:tcPr>
          <w:p>
            <w:pPr>
              <w:pStyle w:val="129"/>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采购人根据项目的实际情况，要求投标人交纳投标保证金</w:t>
            </w:r>
            <w:r>
              <w:rPr>
                <w:rFonts w:hint="eastAsia"/>
                <w:b/>
              </w:rPr>
              <w:t>伍万</w:t>
            </w:r>
            <w:r>
              <w:rPr>
                <w:rFonts w:hint="eastAsia"/>
              </w:rPr>
              <w:t>元人民币。</w:t>
            </w:r>
            <w:bookmarkEnd w:id="4"/>
            <w:r>
              <w:rPr>
                <w:rFonts w:hint="eastAsia"/>
              </w:rPr>
              <w:t>交纳投标保证金的单位名称必须与参加投标的投标人名称一致</w:t>
            </w:r>
            <w:bookmarkEnd w:id="5"/>
            <w:r>
              <w:rPr>
                <w:rFonts w:hint="eastAsia"/>
              </w:rPr>
              <w:t>，且</w:t>
            </w:r>
            <w:r>
              <w:rPr>
                <w:rFonts w:hint="eastAsia" w:hAnsi="宋体"/>
                <w:bCs/>
                <w:kern w:val="2"/>
                <w:szCs w:val="24"/>
              </w:rPr>
              <w:t>在投标截止时间前到达以下指定账户：</w:t>
            </w:r>
            <w:r>
              <w:rPr>
                <w:rFonts w:hint="eastAsia" w:hAnsi="宋体"/>
                <w:bCs/>
                <w:kern w:val="2"/>
              </w:rPr>
              <w:t>：</w:t>
            </w:r>
          </w:p>
          <w:tbl>
            <w:tblPr>
              <w:tblStyle w:val="75"/>
              <w:tblW w:w="8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973"/>
              <w:gridCol w:w="113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2973" w:type="dxa"/>
                  <w:noWrap w:val="0"/>
                  <w:vAlign w:val="center"/>
                </w:tcPr>
                <w:p>
                  <w:pPr>
                    <w:jc w:val="center"/>
                    <w:rPr>
                      <w:rFonts w:hint="eastAsia" w:ascii="宋体" w:hAnsi="宋体"/>
                      <w:bCs/>
                      <w:sz w:val="24"/>
                      <w:szCs w:val="21"/>
                    </w:rPr>
                  </w:pPr>
                  <w:r>
                    <w:rPr>
                      <w:rFonts w:hint="eastAsia" w:ascii="宋体" w:hAnsi="宋体"/>
                      <w:bCs/>
                      <w:sz w:val="24"/>
                      <w:szCs w:val="21"/>
                    </w:rPr>
                    <w:t>宜兴市公用产业集团</w:t>
                  </w:r>
                </w:p>
                <w:p>
                  <w:pPr>
                    <w:jc w:val="center"/>
                    <w:rPr>
                      <w:rFonts w:hAnsi="宋体"/>
                      <w:bCs/>
                      <w:szCs w:val="21"/>
                      <w:lang w:val="zh-CN"/>
                    </w:rPr>
                  </w:pPr>
                  <w:r>
                    <w:rPr>
                      <w:rFonts w:hint="eastAsia" w:ascii="宋体" w:hAnsi="宋体"/>
                      <w:bCs/>
                      <w:sz w:val="24"/>
                      <w:szCs w:val="21"/>
                    </w:rPr>
                    <w:t>有限公司</w:t>
                  </w:r>
                </w:p>
              </w:tc>
              <w:tc>
                <w:tcPr>
                  <w:tcW w:w="113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268"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2973" w:type="dxa"/>
                  <w:noWrap w:val="0"/>
                  <w:vAlign w:val="center"/>
                </w:tcPr>
                <w:p>
                  <w:pPr>
                    <w:jc w:val="center"/>
                    <w:rPr>
                      <w:rFonts w:ascii="宋体" w:hAnsi="宋体"/>
                      <w:bCs/>
                      <w:sz w:val="24"/>
                      <w:szCs w:val="21"/>
                    </w:rPr>
                  </w:pPr>
                  <w:r>
                    <w:rPr>
                      <w:rFonts w:hint="eastAsia"/>
                    </w:rPr>
                    <w:t>光大银行 宜兴支行</w:t>
                  </w:r>
                </w:p>
              </w:tc>
              <w:tc>
                <w:tcPr>
                  <w:tcW w:w="1134" w:type="dxa"/>
                  <w:vMerge w:val="continue"/>
                  <w:noWrap w:val="0"/>
                  <w:vAlign w:val="center"/>
                </w:tcPr>
                <w:p>
                  <w:pPr>
                    <w:jc w:val="center"/>
                    <w:rPr>
                      <w:rFonts w:hAnsi="宋体"/>
                      <w:bCs/>
                      <w:szCs w:val="21"/>
                      <w:lang w:val="zh-CN"/>
                    </w:rPr>
                  </w:pPr>
                </w:p>
              </w:tc>
              <w:tc>
                <w:tcPr>
                  <w:tcW w:w="2268"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2973" w:type="dxa"/>
                  <w:noWrap w:val="0"/>
                  <w:vAlign w:val="center"/>
                </w:tcPr>
                <w:p>
                  <w:pPr>
                    <w:jc w:val="center"/>
                    <w:rPr>
                      <w:rFonts w:ascii="宋体" w:hAnsi="宋体"/>
                      <w:bCs/>
                      <w:sz w:val="24"/>
                      <w:szCs w:val="21"/>
                    </w:rPr>
                  </w:pPr>
                  <w:r>
                    <w:rPr>
                      <w:rFonts w:ascii="宋体" w:hAnsi="宋体"/>
                      <w:bCs/>
                      <w:sz w:val="24"/>
                      <w:szCs w:val="21"/>
                    </w:rPr>
                    <w:t>10010188000007800</w:t>
                  </w:r>
                </w:p>
              </w:tc>
              <w:tc>
                <w:tcPr>
                  <w:tcW w:w="1134" w:type="dxa"/>
                  <w:vMerge w:val="continue"/>
                  <w:noWrap w:val="0"/>
                  <w:vAlign w:val="center"/>
                </w:tcPr>
                <w:p>
                  <w:pPr>
                    <w:jc w:val="center"/>
                    <w:rPr>
                      <w:rFonts w:hAnsi="宋体"/>
                      <w:bCs/>
                      <w:szCs w:val="21"/>
                      <w:lang w:val="zh-CN"/>
                    </w:rPr>
                  </w:pPr>
                </w:p>
              </w:tc>
              <w:tc>
                <w:tcPr>
                  <w:tcW w:w="2268" w:type="dxa"/>
                  <w:vMerge w:val="continue"/>
                  <w:noWrap w:val="0"/>
                  <w:vAlign w:val="center"/>
                </w:tcPr>
                <w:p>
                  <w:pPr>
                    <w:jc w:val="center"/>
                    <w:rPr>
                      <w:szCs w:val="21"/>
                    </w:rPr>
                  </w:pPr>
                </w:p>
              </w:tc>
            </w:tr>
          </w:tbl>
          <w:p>
            <w:pPr>
              <w:spacing w:line="240" w:lineRule="atLeast"/>
              <w:rPr>
                <w:rFonts w:hint="eastAsia" w:ascii="宋体" w:hAnsi="宋体" w:cs="宋体"/>
                <w:b/>
                <w:color w:val="FF0000"/>
                <w:sz w:val="24"/>
              </w:rPr>
            </w:pPr>
            <w:r>
              <w:rPr>
                <w:rFonts w:hint="eastAsia"/>
                <w:b/>
                <w:sz w:val="28"/>
                <w:szCs w:val="28"/>
              </w:rPr>
              <w:t>投标人缴纳投标保证金的时间为2021年10月11日17：00至2021年10月18日10:00，缴纳投标保证金账户为涉密账户，请投标单位仔细核对账号后缴纳投标保证金。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w:t>
            </w:r>
            <w:r>
              <w:rPr>
                <w:rFonts w:hint="eastAsia" w:ascii="宋体" w:hAnsi="宋体"/>
                <w:b/>
                <w:bCs/>
                <w:sz w:val="24"/>
              </w:rPr>
              <w:t>伍</w:t>
            </w:r>
            <w:r>
              <w:rPr>
                <w:rFonts w:hint="eastAsia" w:ascii="宋体" w:hAnsi="宋体"/>
                <w:b/>
                <w:bCs/>
                <w:sz w:val="24"/>
                <w:lang w:val="zh-CN"/>
              </w:rPr>
              <w:t>万</w:t>
            </w:r>
            <w:r>
              <w:rPr>
                <w:rFonts w:hint="eastAsia" w:ascii="宋体" w:hAnsi="宋体"/>
                <w:bCs/>
                <w:sz w:val="24"/>
                <w:lang w:val="zh-CN"/>
              </w:rPr>
              <w:t>元人民币作为</w:t>
            </w:r>
            <w:r>
              <w:rPr>
                <w:rFonts w:hint="eastAsia" w:ascii="宋体" w:hAnsi="宋体"/>
                <w:bCs/>
                <w:sz w:val="24"/>
              </w:rPr>
              <w:t>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115" w:type="dxa"/>
                  <w:noWrap w:val="0"/>
                  <w:vAlign w:val="center"/>
                </w:tcPr>
                <w:p>
                  <w:pPr>
                    <w:jc w:val="center"/>
                    <w:rPr>
                      <w:rFonts w:hint="eastAsia" w:ascii="宋体" w:hAnsi="宋体"/>
                      <w:bCs/>
                      <w:sz w:val="24"/>
                      <w:szCs w:val="21"/>
                    </w:rPr>
                  </w:pPr>
                  <w:r>
                    <w:rPr>
                      <w:rFonts w:hint="eastAsia" w:ascii="宋体" w:hAnsi="宋体"/>
                      <w:bCs/>
                      <w:sz w:val="24"/>
                      <w:szCs w:val="21"/>
                    </w:rPr>
                    <w:t>宜兴市公用建环资源循环</w:t>
                  </w:r>
                </w:p>
                <w:p>
                  <w:pPr>
                    <w:jc w:val="center"/>
                    <w:rPr>
                      <w:rFonts w:hAnsi="宋体"/>
                      <w:bCs/>
                      <w:szCs w:val="21"/>
                      <w:lang w:val="zh-CN"/>
                    </w:rPr>
                  </w:pPr>
                  <w:r>
                    <w:rPr>
                      <w:rFonts w:hint="eastAsia" w:ascii="宋体" w:hAnsi="宋体"/>
                      <w:bCs/>
                      <w:sz w:val="24"/>
                      <w:szCs w:val="21"/>
                    </w:rPr>
                    <w:t>利用有限公司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1"/>
                    </w:rPr>
                  </w:pPr>
                  <w:r>
                    <w:rPr>
                      <w:rFonts w:hint="eastAsia" w:ascii="宋体" w:hAnsi="宋体"/>
                      <w:bCs/>
                      <w:sz w:val="24"/>
                      <w:szCs w:val="21"/>
                    </w:rPr>
                    <w:t>宜兴农村商业银行城南支行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1"/>
                    </w:rPr>
                  </w:pPr>
                  <w:r>
                    <w:rPr>
                      <w:rFonts w:hint="eastAsia" w:ascii="宋体" w:hAnsi="宋体"/>
                      <w:bCs/>
                      <w:sz w:val="24"/>
                      <w:szCs w:val="21"/>
                    </w:rPr>
                    <w:t>3202230401201000012720</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hint="eastAsia"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第二章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w:t>
      </w:r>
      <w:r>
        <w:rPr>
          <w:rFonts w:hint="eastAsia" w:ascii="宋体" w:hAnsi="宋体"/>
          <w:bCs/>
          <w:sz w:val="24"/>
        </w:rPr>
        <w:t>与宜兴市公用建环资源循环利用有限公司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rPr>
        <w:t>宜兴市公用建环资源循环利用有限公司负责解释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hint="eastAsia" w:ascii="宋体" w:hAnsi="宋体"/>
          <w:sz w:val="24"/>
          <w:szCs w:val="24"/>
        </w:rPr>
        <w:t>（格式见附件）</w:t>
      </w:r>
      <w:r>
        <w:rPr>
          <w:rFonts w:hint="eastAsia" w:ascii="宋体" w:hAnsi="宋体"/>
          <w:bCs/>
          <w:sz w:val="24"/>
          <w:szCs w:val="24"/>
        </w:rPr>
        <w:t>；</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投标人</w:t>
      </w:r>
      <w:bookmarkStart w:id="21" w:name="OLE_LINK112"/>
      <w:r>
        <w:rPr>
          <w:rFonts w:hint="eastAsia" w:ascii="宋体" w:hAnsi="宋体"/>
          <w:sz w:val="24"/>
          <w:szCs w:val="24"/>
        </w:rPr>
        <w:t>法定代表人授权委托书原件</w:t>
      </w:r>
      <w:r>
        <w:rPr>
          <w:rFonts w:hint="eastAsia" w:ascii="宋体" w:hAnsi="宋体"/>
          <w:sz w:val="24"/>
          <w:szCs w:val="21"/>
        </w:rPr>
        <w:t>及被授权代表的身份证复印件</w:t>
      </w:r>
      <w:r>
        <w:rPr>
          <w:rFonts w:hint="eastAsia" w:ascii="宋体" w:hAnsi="宋体"/>
          <w:sz w:val="24"/>
          <w:szCs w:val="24"/>
        </w:rPr>
        <w:t>（法定代表人亲自参加投标的除外）</w:t>
      </w:r>
      <w:bookmarkEnd w:id="21"/>
      <w:r>
        <w:rPr>
          <w:rFonts w:hint="eastAsia" w:ascii="宋体" w:hAnsi="宋体"/>
          <w:sz w:val="24"/>
          <w:szCs w:val="24"/>
        </w:rPr>
        <w:t>；</w:t>
      </w:r>
      <w:r>
        <w:rPr>
          <w:rFonts w:hint="eastAsia" w:ascii="宋体" w:hAnsi="宋体"/>
          <w:bCs/>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r>
        <w:rPr>
          <w:rFonts w:hint="eastAsia" w:ascii="宋体" w:hAnsi="宋体"/>
          <w:sz w:val="24"/>
          <w:szCs w:val="24"/>
        </w:rPr>
        <w:t>（格式见附件）；</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b/>
          <w:sz w:val="24"/>
          <w:szCs w:val="24"/>
        </w:rPr>
        <w:t>投标时</w:t>
      </w:r>
      <w:r>
        <w:rPr>
          <w:rFonts w:hint="eastAsia" w:ascii="宋体" w:hAnsi="宋体"/>
          <w:b/>
          <w:bCs/>
          <w:sz w:val="24"/>
          <w:szCs w:val="24"/>
          <w:lang w:val="zh-CN"/>
        </w:rPr>
        <w:t>必须提交相应原件或公证件</w:t>
      </w:r>
      <w:r>
        <w:rPr>
          <w:rFonts w:hint="eastAsia" w:ascii="宋体" w:hAnsi="宋体"/>
          <w:bCs/>
          <w:sz w:val="24"/>
          <w:szCs w:val="24"/>
          <w:lang w:val="zh-CN"/>
        </w:rPr>
        <w:t>）；</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2" w:name="OLE_LINK181"/>
      <w:r>
        <w:rPr>
          <w:rFonts w:hint="eastAsia" w:ascii="宋体" w:hAnsi="宋体"/>
          <w:sz w:val="24"/>
          <w:szCs w:val="24"/>
        </w:rPr>
        <w:t>近十二个月</w:t>
      </w:r>
      <w:bookmarkEnd w:id="22"/>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rPr>
          <w:rFonts w:hint="eastAsia" w:ascii="宋体" w:hAnsi="宋体" w:cs="宋体"/>
          <w:sz w:val="24"/>
          <w:szCs w:val="24"/>
        </w:rPr>
      </w:pPr>
      <w:r>
        <w:rPr>
          <w:rFonts w:hint="eastAsia" w:ascii="宋体" w:hAnsi="宋体" w:cs="宋体"/>
          <w:sz w:val="24"/>
          <w:szCs w:val="24"/>
        </w:rPr>
        <w:t>投标保证金交纳证明复印件</w:t>
      </w:r>
      <w:r>
        <w:rPr>
          <w:rFonts w:hint="eastAsia" w:ascii="宋体" w:hAnsi="宋体"/>
          <w:b/>
          <w:sz w:val="24"/>
          <w:szCs w:val="21"/>
        </w:rPr>
        <w:t>（</w:t>
      </w:r>
      <w:r>
        <w:rPr>
          <w:rFonts w:hint="eastAsia" w:ascii="宋体" w:hAnsi="宋体"/>
          <w:sz w:val="24"/>
          <w:szCs w:val="21"/>
        </w:rPr>
        <w:t>银行转账记录</w:t>
      </w:r>
      <w:r>
        <w:rPr>
          <w:rFonts w:hint="eastAsia" w:ascii="宋体" w:hAnsi="宋体"/>
          <w:b/>
          <w:sz w:val="24"/>
          <w:szCs w:val="21"/>
        </w:rPr>
        <w:t>）</w:t>
      </w:r>
      <w:r>
        <w:rPr>
          <w:rFonts w:hint="eastAsia" w:ascii="宋体" w:hAnsi="宋体" w:cs="宋体"/>
          <w:sz w:val="24"/>
          <w:szCs w:val="24"/>
        </w:rPr>
        <w:t>；</w:t>
      </w:r>
    </w:p>
    <w:p>
      <w:pPr>
        <w:tabs>
          <w:tab w:val="left" w:pos="0"/>
          <w:tab w:val="left" w:pos="945"/>
          <w:tab w:val="left" w:pos="1155"/>
        </w:tabs>
        <w:spacing w:line="360" w:lineRule="auto"/>
        <w:ind w:firstLine="424" w:firstLineChars="177"/>
        <w:rPr>
          <w:rFonts w:ascii="宋体" w:hAnsi="宋体" w:cs="宋体"/>
          <w:sz w:val="24"/>
          <w:szCs w:val="24"/>
        </w:rPr>
      </w:pPr>
      <w:bookmarkStart w:id="23" w:name="OLE_LINK115"/>
      <w:r>
        <w:rPr>
          <w:rFonts w:hint="eastAsia" w:ascii="宋体" w:hAnsi="宋体"/>
          <w:sz w:val="24"/>
        </w:rPr>
        <w:t>（4）招标文件 “项目技术要求和有关说明”中要求提供的相关证明材料（如有自行添加）</w:t>
      </w:r>
      <w:bookmarkEnd w:id="23"/>
    </w:p>
    <w:p>
      <w:pPr>
        <w:tabs>
          <w:tab w:val="left" w:pos="0"/>
        </w:tabs>
        <w:spacing w:line="360" w:lineRule="auto"/>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 w:val="left" w:pos="255"/>
        </w:tabs>
        <w:spacing w:line="360" w:lineRule="auto"/>
        <w:ind w:left="284"/>
        <w:rPr>
          <w:rFonts w:ascii="宋体" w:hAnsi="宋体"/>
          <w:bCs/>
          <w:sz w:val="24"/>
          <w:lang w:val="zh-CN"/>
        </w:rPr>
      </w:pPr>
      <w:bookmarkStart w:id="24"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8"/>
      <w:bookmarkEnd w:id="24"/>
    </w:p>
    <w:bookmarkEnd w:id="15"/>
    <w:bookmarkEnd w:id="16"/>
    <w:p>
      <w:pPr>
        <w:spacing w:line="360" w:lineRule="auto"/>
        <w:jc w:val="left"/>
        <w:rPr>
          <w:rFonts w:ascii="宋体" w:hAnsi="宋体"/>
          <w:bCs/>
          <w:sz w:val="24"/>
        </w:rPr>
      </w:pPr>
      <w:bookmarkStart w:id="25"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6" w:name="OLE_LINK117"/>
      <w:r>
        <w:rPr>
          <w:rFonts w:hint="eastAsia" w:ascii="宋体" w:hAnsi="宋体"/>
          <w:b/>
          <w:sz w:val="24"/>
        </w:rPr>
        <w:t>应在提交投标文件截止时间之前将相关原件或公证件与投标文件一并提交。</w:t>
      </w:r>
      <w:bookmarkEnd w:id="26"/>
      <w:r>
        <w:rPr>
          <w:rFonts w:hint="eastAsia" w:ascii="宋体" w:hAnsi="宋体"/>
          <w:bCs/>
          <w:sz w:val="24"/>
        </w:rPr>
        <w:t>如上述证明文件遇年检、换证，则必须提供法定年检、换证单位出具的有效证明复印件，原件一并提交</w:t>
      </w:r>
      <w:bookmarkStart w:id="27" w:name="OLE_LINK118"/>
      <w:r>
        <w:rPr>
          <w:rFonts w:hint="eastAsia" w:ascii="宋体" w:hAnsi="宋体"/>
          <w:bCs/>
          <w:sz w:val="24"/>
        </w:rPr>
        <w:t>。</w:t>
      </w:r>
      <w:bookmarkEnd w:id="27"/>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投标人对招标文件的相关内容不得有不同意见的负偏离，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投标人须在招标文件规定的提交投标文件截止时间之前到宜兴市公用建环资源循环利用有限公司提交投标文件，逾期不予受理。</w:t>
      </w:r>
    </w:p>
    <w:p>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5"/>
    </w:p>
    <w:bookmarkEnd w:id="38"/>
    <w:p>
      <w:pPr>
        <w:spacing w:line="360" w:lineRule="auto"/>
        <w:ind w:firstLine="482" w:firstLineChars="200"/>
        <w:rPr>
          <w:rFonts w:ascii="宋体" w:hAnsi="宋体"/>
          <w:b/>
          <w:sz w:val="24"/>
        </w:rPr>
      </w:pPr>
      <w:bookmarkStart w:id="39"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投标人投标后，宜兴市公用建环资源循环利用有限公司对所有投标人的投标文件一律不予退还。</w:t>
      </w:r>
    </w:p>
    <w:p>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宜兴市公用建环资源循环利用有限公司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pPr>
        <w:numPr>
          <w:ilvl w:val="0"/>
          <w:numId w:val="18"/>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pPr>
        <w:spacing w:line="360" w:lineRule="auto"/>
        <w:ind w:firstLine="482" w:firstLineChars="200"/>
        <w:rPr>
          <w:rFonts w:ascii="宋体" w:hAnsi="宋体"/>
          <w:b/>
          <w:sz w:val="24"/>
        </w:rPr>
      </w:pPr>
      <w:bookmarkStart w:id="47"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9" w:name="OLE_LINK131"/>
      <w:bookmarkStart w:id="5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1"/>
      <w:r>
        <w:rPr>
          <w:rFonts w:hint="eastAsia" w:ascii="宋体" w:hAnsi="宋体"/>
          <w:bCs/>
          <w:sz w:val="24"/>
          <w:lang w:val="zh-CN"/>
        </w:rPr>
        <w:t>；若未进入评审环节，不需要做出认定</w:t>
      </w:r>
      <w:bookmarkEnd w:id="50"/>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本次招标采用最高价评标法。</w:t>
      </w:r>
    </w:p>
    <w:p>
      <w:pPr>
        <w:spacing w:line="360" w:lineRule="auto"/>
        <w:ind w:firstLine="480" w:firstLineChars="200"/>
        <w:rPr>
          <w:rFonts w:ascii="宋体" w:hAnsi="宋体" w:cs="宋体"/>
          <w:sz w:val="24"/>
          <w:szCs w:val="24"/>
        </w:rPr>
      </w:pPr>
      <w:bookmarkStart w:id="57"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9"/>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9"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28"/>
        </w:rPr>
      </w:pPr>
    </w:p>
    <w:p>
      <w:pPr>
        <w:outlineLvl w:val="0"/>
        <w:rPr>
          <w:rFonts w:ascii="黑体" w:hAnsi="黑体" w:eastAsia="黑体"/>
          <w:sz w:val="28"/>
        </w:rPr>
      </w:pPr>
    </w:p>
    <w:p>
      <w:pPr>
        <w:widowControl/>
        <w:jc w:val="center"/>
        <w:rPr>
          <w:rFonts w:ascii="黑体" w:hAnsi="黑体" w:eastAsia="黑体"/>
          <w:sz w:val="32"/>
          <w:szCs w:val="32"/>
        </w:rPr>
      </w:pPr>
    </w:p>
    <w:p>
      <w:pPr>
        <w:jc w:val="center"/>
        <w:outlineLvl w:val="0"/>
        <w:rPr>
          <w:rFonts w:hint="eastAsia" w:ascii="黑体" w:hAnsi="黑体" w:eastAsia="黑体"/>
          <w:sz w:val="32"/>
          <w:szCs w:val="32"/>
        </w:rPr>
      </w:pPr>
    </w:p>
    <w:p>
      <w:pPr>
        <w:rPr>
          <w:rFonts w:hint="eastAsia"/>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bookmarkStart w:id="99" w:name="_GoBack"/>
      <w:bookmarkEnd w:id="99"/>
      <w:r>
        <w:rPr>
          <w:rFonts w:hint="eastAsia" w:ascii="黑体" w:hAnsi="黑体" w:eastAsia="黑体"/>
          <w:sz w:val="28"/>
        </w:rPr>
        <w:t>三 项目技术要求和有关说明</w:t>
      </w:r>
      <w:bookmarkStart w:id="70" w:name="_Toc374078452"/>
      <w:bookmarkStart w:id="71" w:name="_Toc15017"/>
      <w:bookmarkStart w:id="72" w:name="_Toc372018970"/>
      <w:bookmarkStart w:id="73" w:name="_Toc24341"/>
      <w:bookmarkStart w:id="74" w:name="_Toc376165139"/>
      <w:bookmarkStart w:id="75" w:name="_Toc26921"/>
      <w:bookmarkStart w:id="76" w:name="_Toc372018550"/>
    </w:p>
    <w:p>
      <w:pPr>
        <w:jc w:val="center"/>
        <w:outlineLvl w:val="0"/>
        <w:rPr>
          <w:rFonts w:hint="eastAsia" w:ascii="黑体" w:hAnsi="黑体" w:eastAsia="黑体"/>
          <w:sz w:val="28"/>
        </w:rPr>
      </w:pPr>
    </w:p>
    <w:p>
      <w:pPr>
        <w:widowControl/>
        <w:spacing w:line="276" w:lineRule="auto"/>
        <w:jc w:val="left"/>
        <w:rPr>
          <w:rFonts w:hint="eastAsia" w:ascii="宋体" w:hAnsi="宋体"/>
          <w:sz w:val="24"/>
          <w:szCs w:val="24"/>
        </w:rPr>
      </w:pPr>
      <w:r>
        <w:rPr>
          <w:rFonts w:hint="eastAsia" w:ascii="宋体" w:hAnsi="宋体"/>
          <w:sz w:val="24"/>
          <w:szCs w:val="24"/>
        </w:rPr>
        <w:t xml:space="preserve">    一、本项目为宜兴市公用建环资源循环利用有限公司骨料出售（2021年第二批）项目，具体要求如下，投标人须提供满足以下要求的服务，不得有负偏离，本项目采用</w:t>
      </w:r>
      <w:r>
        <w:rPr>
          <w:rFonts w:hint="eastAsia" w:ascii="宋体" w:hAnsi="宋体"/>
          <w:sz w:val="24"/>
          <w:szCs w:val="28"/>
        </w:rPr>
        <w:t>最高评标价法，本预算为最低限价，各供应商的报价不得低于该预算价</w:t>
      </w:r>
      <w:r>
        <w:rPr>
          <w:rFonts w:hint="eastAsia" w:ascii="宋体" w:hAnsi="宋体"/>
          <w:sz w:val="24"/>
          <w:szCs w:val="24"/>
        </w:rPr>
        <w:t>。</w:t>
      </w:r>
      <w:r>
        <w:rPr>
          <w:rFonts w:hint="eastAsia" w:ascii="宋体" w:hAnsi="宋体"/>
          <w:sz w:val="24"/>
          <w:szCs w:val="28"/>
        </w:rPr>
        <w:t>报价按上浮系数报价，最低报价系数为1.0，加价幅度至少为0.01的倍数。</w:t>
      </w:r>
    </w:p>
    <w:p>
      <w:pPr>
        <w:widowControl/>
        <w:spacing w:line="276" w:lineRule="auto"/>
        <w:ind w:firstLine="480" w:firstLineChars="200"/>
        <w:jc w:val="left"/>
        <w:rPr>
          <w:rFonts w:hint="eastAsia" w:ascii="仿宋_GB2312" w:hAnsi="宋体" w:eastAsia="仿宋_GB2312" w:cs="宋体"/>
          <w:kern w:val="0"/>
          <w:sz w:val="24"/>
        </w:rPr>
      </w:pPr>
      <w:r>
        <w:rPr>
          <w:rFonts w:hint="eastAsia" w:ascii="宋体" w:hAnsi="宋体"/>
          <w:sz w:val="24"/>
          <w:szCs w:val="24"/>
        </w:rPr>
        <w:t xml:space="preserve">二、具体名称、规格及数量详见下表: </w:t>
      </w:r>
    </w:p>
    <w:p>
      <w:pPr>
        <w:spacing w:line="360" w:lineRule="auto"/>
        <w:jc w:val="center"/>
        <w:rPr>
          <w:rFonts w:hint="eastAsia" w:ascii="宋体" w:hAnsi="宋体"/>
          <w:sz w:val="24"/>
          <w:szCs w:val="24"/>
        </w:rPr>
      </w:pPr>
      <w:r>
        <w:rPr>
          <w:rFonts w:hint="eastAsia" w:ascii="宋体" w:hAnsi="宋体" w:cs="宋体"/>
          <w:b/>
          <w:sz w:val="32"/>
          <w:szCs w:val="24"/>
        </w:rPr>
        <w:t>一标段：</w:t>
      </w:r>
    </w:p>
    <w:tbl>
      <w:tblPr>
        <w:tblStyle w:val="75"/>
        <w:tblW w:w="8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1342"/>
        <w:gridCol w:w="1701"/>
        <w:gridCol w:w="248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47"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序号</w:t>
            </w:r>
          </w:p>
        </w:tc>
        <w:tc>
          <w:tcPr>
            <w:tcW w:w="1342"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商品全名</w:t>
            </w:r>
          </w:p>
        </w:tc>
        <w:tc>
          <w:tcPr>
            <w:tcW w:w="1701"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规格</w:t>
            </w:r>
          </w:p>
        </w:tc>
        <w:tc>
          <w:tcPr>
            <w:tcW w:w="2486"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最低限价（元/吨）</w:t>
            </w:r>
          </w:p>
        </w:tc>
        <w:tc>
          <w:tcPr>
            <w:tcW w:w="1984" w:type="dxa"/>
            <w:noWrap w:val="0"/>
            <w:vAlign w:val="center"/>
          </w:tcPr>
          <w:p>
            <w:pPr>
              <w:widowControl/>
              <w:jc w:val="center"/>
              <w:rPr>
                <w:rFonts w:hint="eastAsia" w:ascii="宋体" w:hAnsi="宋体" w:cs="Arial"/>
                <w:color w:val="000000"/>
                <w:kern w:val="0"/>
                <w:sz w:val="24"/>
                <w:szCs w:val="24"/>
              </w:rPr>
            </w:pPr>
            <w:r>
              <w:rPr>
                <w:rFonts w:hint="eastAsia" w:ascii="宋体" w:hAnsi="宋体" w:cs="Arial"/>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147"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1</w:t>
            </w:r>
          </w:p>
        </w:tc>
        <w:tc>
          <w:tcPr>
            <w:tcW w:w="1342"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骨料</w:t>
            </w:r>
          </w:p>
        </w:tc>
        <w:tc>
          <w:tcPr>
            <w:tcW w:w="1701"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100-150mm</w:t>
            </w:r>
          </w:p>
        </w:tc>
        <w:tc>
          <w:tcPr>
            <w:tcW w:w="2486"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22</w:t>
            </w:r>
          </w:p>
        </w:tc>
        <w:tc>
          <w:tcPr>
            <w:tcW w:w="1984" w:type="dxa"/>
            <w:noWrap w:val="0"/>
            <w:vAlign w:val="center"/>
          </w:tcPr>
          <w:p>
            <w:pPr>
              <w:jc w:val="center"/>
              <w:rPr>
                <w:rFonts w:ascii="宋体" w:hAnsi="宋体" w:cs="Arial"/>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489" w:type="dxa"/>
            <w:gridSpan w:val="2"/>
            <w:shd w:val="clear" w:color="FFFFFF" w:fill="FFFFFF"/>
            <w:noWrap w:val="0"/>
            <w:vAlign w:val="center"/>
          </w:tcPr>
          <w:p>
            <w:pPr>
              <w:jc w:val="center"/>
              <w:rPr>
                <w:rFonts w:hint="eastAsia" w:ascii="宋体" w:hAnsi="宋体" w:cs="Arial"/>
                <w:color w:val="000000"/>
                <w:kern w:val="0"/>
                <w:sz w:val="24"/>
                <w:szCs w:val="24"/>
              </w:rPr>
            </w:pPr>
            <w:r>
              <w:rPr>
                <w:rFonts w:hint="eastAsia" w:ascii="宋体" w:hAnsi="宋体" w:cs="Arial"/>
                <w:color w:val="000000"/>
                <w:kern w:val="0"/>
                <w:sz w:val="24"/>
                <w:szCs w:val="24"/>
              </w:rPr>
              <w:t>合计</w:t>
            </w:r>
          </w:p>
        </w:tc>
        <w:tc>
          <w:tcPr>
            <w:tcW w:w="1701" w:type="dxa"/>
            <w:shd w:val="clear" w:color="FFFFFF" w:fill="FFFFFF"/>
            <w:noWrap w:val="0"/>
            <w:vAlign w:val="center"/>
          </w:tcPr>
          <w:p>
            <w:pPr>
              <w:widowControl/>
              <w:jc w:val="center"/>
              <w:rPr>
                <w:rFonts w:hint="eastAsia" w:ascii="宋体" w:hAnsi="宋体" w:cs="Arial"/>
                <w:color w:val="000000"/>
                <w:kern w:val="0"/>
                <w:sz w:val="24"/>
                <w:szCs w:val="24"/>
              </w:rPr>
            </w:pPr>
          </w:p>
        </w:tc>
        <w:tc>
          <w:tcPr>
            <w:tcW w:w="2486" w:type="dxa"/>
            <w:shd w:val="clear" w:color="FFFFFF" w:fill="FFFFFF"/>
            <w:noWrap w:val="0"/>
            <w:vAlign w:val="center"/>
          </w:tcPr>
          <w:p>
            <w:pPr>
              <w:widowControl/>
              <w:jc w:val="center"/>
              <w:rPr>
                <w:rFonts w:hint="eastAsia" w:ascii="宋体" w:hAnsi="宋体" w:cs="Arial"/>
                <w:color w:val="000000"/>
                <w:kern w:val="0"/>
                <w:sz w:val="24"/>
                <w:szCs w:val="24"/>
              </w:rPr>
            </w:pPr>
            <w:r>
              <w:rPr>
                <w:rFonts w:hint="eastAsia" w:ascii="宋体" w:hAnsi="宋体" w:cs="Arial"/>
                <w:color w:val="000000"/>
                <w:kern w:val="0"/>
                <w:sz w:val="24"/>
                <w:szCs w:val="24"/>
              </w:rPr>
              <w:t>22</w:t>
            </w:r>
          </w:p>
        </w:tc>
        <w:tc>
          <w:tcPr>
            <w:tcW w:w="1984" w:type="dxa"/>
            <w:noWrap w:val="0"/>
            <w:vAlign w:val="center"/>
          </w:tcPr>
          <w:p>
            <w:pPr>
              <w:jc w:val="center"/>
              <w:rPr>
                <w:rFonts w:ascii="宋体" w:hAnsi="宋体" w:cs="Arial"/>
                <w:color w:val="000000"/>
                <w:sz w:val="24"/>
                <w:szCs w:val="24"/>
              </w:rPr>
            </w:pPr>
          </w:p>
        </w:tc>
      </w:tr>
    </w:tbl>
    <w:p>
      <w:pPr>
        <w:spacing w:line="360" w:lineRule="auto"/>
        <w:rPr>
          <w:rFonts w:hint="eastAsia" w:ascii="宋体" w:hAnsi="宋体"/>
          <w:sz w:val="24"/>
          <w:szCs w:val="24"/>
        </w:rPr>
      </w:pPr>
      <w:r>
        <w:rPr>
          <w:rFonts w:hint="eastAsia" w:ascii="宋体" w:hAnsi="宋体"/>
          <w:sz w:val="24"/>
          <w:szCs w:val="24"/>
        </w:rPr>
        <w:t>备注：</w:t>
      </w:r>
    </w:p>
    <w:p>
      <w:pPr>
        <w:spacing w:line="276" w:lineRule="auto"/>
        <w:rPr>
          <w:rFonts w:hint="eastAsia" w:ascii="ˎ̥" w:hAnsi="ˎ̥" w:cs="宋体"/>
          <w:kern w:val="0"/>
          <w:sz w:val="24"/>
        </w:rPr>
      </w:pPr>
      <w:r>
        <w:rPr>
          <w:rFonts w:hint="eastAsia" w:ascii="宋体" w:hAnsi="宋体"/>
          <w:sz w:val="24"/>
          <w:szCs w:val="24"/>
        </w:rPr>
        <w:t xml:space="preserve">    1</w:t>
      </w:r>
      <w:r>
        <w:rPr>
          <w:rFonts w:hint="eastAsia" w:ascii="宋体" w:hAnsi="宋体"/>
          <w:sz w:val="24"/>
        </w:rPr>
        <w:t>、本合同为单价合同，投标单价</w:t>
      </w:r>
      <w:r>
        <w:rPr>
          <w:rFonts w:hint="eastAsia" w:ascii="ˎ̥" w:hAnsi="ˎ̥" w:cs="宋体"/>
          <w:kern w:val="0"/>
          <w:sz w:val="24"/>
        </w:rPr>
        <w:t>应全部考虑了包括所有货物、调试、人力、机械、运输（装车由销售方承担）、仓储、各种税费、劳保、专利技术、质保、政策性文件规定及合同包含的所有风险、责任等各项所有费用。</w:t>
      </w:r>
    </w:p>
    <w:p>
      <w:pPr>
        <w:spacing w:line="276" w:lineRule="auto"/>
        <w:ind w:firstLine="465"/>
        <w:rPr>
          <w:rFonts w:hint="eastAsia" w:ascii="ˎ̥" w:hAnsi="ˎ̥" w:cs="宋体"/>
          <w:kern w:val="0"/>
          <w:sz w:val="24"/>
        </w:rPr>
      </w:pPr>
      <w:r>
        <w:rPr>
          <w:rFonts w:hint="eastAsia" w:ascii="ˎ̥" w:hAnsi="ˎ̥" w:cs="宋体"/>
          <w:kern w:val="0"/>
          <w:sz w:val="24"/>
        </w:rPr>
        <w:t>2、销售方根据需要调配实际销售的数量，各中标单位所有货品以实际销售数量结算。</w:t>
      </w:r>
    </w:p>
    <w:p>
      <w:pPr>
        <w:spacing w:line="360" w:lineRule="auto"/>
        <w:rPr>
          <w:rFonts w:hint="eastAsia" w:ascii="宋体" w:hAnsi="宋体"/>
          <w:sz w:val="24"/>
          <w:szCs w:val="24"/>
        </w:rPr>
      </w:pPr>
      <w:r>
        <w:rPr>
          <w:rFonts w:hint="eastAsia" w:ascii="宋体" w:hAnsi="宋体"/>
          <w:sz w:val="24"/>
          <w:szCs w:val="24"/>
        </w:rPr>
        <w:t xml:space="preserve">    二、有关说明</w:t>
      </w:r>
    </w:p>
    <w:p>
      <w:pPr>
        <w:spacing w:line="360" w:lineRule="auto"/>
        <w:rPr>
          <w:rFonts w:hint="eastAsia" w:ascii="楷体_GB2312" w:hAnsi="_GB2312" w:eastAsia="楷体_GB2312"/>
          <w:sz w:val="28"/>
          <w:szCs w:val="28"/>
        </w:rPr>
      </w:pPr>
      <w:r>
        <w:rPr>
          <w:rFonts w:hint="eastAsia" w:ascii="宋体" w:hAnsi="宋体"/>
          <w:sz w:val="24"/>
          <w:szCs w:val="24"/>
        </w:rPr>
        <w:t xml:space="preserve">    1、本</w:t>
      </w:r>
      <w:r>
        <w:rPr>
          <w:rFonts w:hint="eastAsia" w:ascii="宋体" w:hAnsi="宋体"/>
          <w:bCs/>
          <w:sz w:val="24"/>
        </w:rPr>
        <w:t>投标</w:t>
      </w:r>
      <w:r>
        <w:rPr>
          <w:rFonts w:hint="eastAsia" w:ascii="宋体" w:hAnsi="宋体"/>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hint="eastAsia" w:ascii="宋体" w:hAnsi="宋体"/>
          <w:bCs/>
          <w:sz w:val="24"/>
        </w:rPr>
        <w:t>准要求作实质性响应。</w:t>
      </w:r>
    </w:p>
    <w:p>
      <w:pPr>
        <w:spacing w:line="360" w:lineRule="auto"/>
        <w:rPr>
          <w:rFonts w:hint="eastAsia" w:ascii="宋体" w:hAnsi="宋体"/>
          <w:bCs/>
          <w:sz w:val="24"/>
          <w:szCs w:val="24"/>
        </w:rPr>
      </w:pPr>
      <w:r>
        <w:rPr>
          <w:rFonts w:hint="eastAsia" w:ascii="宋体" w:hAnsi="宋体"/>
          <w:bCs/>
          <w:sz w:val="24"/>
          <w:szCs w:val="24"/>
        </w:rPr>
        <w:t xml:space="preserve">    2、</w:t>
      </w:r>
      <w:r>
        <w:rPr>
          <w:rFonts w:hint="eastAsia" w:ascii="宋体" w:hAnsi="宋体"/>
          <w:b/>
          <w:sz w:val="24"/>
          <w:szCs w:val="24"/>
        </w:rPr>
        <w:t>服务期限：</w:t>
      </w:r>
      <w:r>
        <w:rPr>
          <w:rFonts w:hint="eastAsia" w:ascii="宋体" w:hAnsi="宋体"/>
          <w:sz w:val="24"/>
          <w:szCs w:val="24"/>
        </w:rPr>
        <w:t>中标后-2021年12月31日。</w:t>
      </w:r>
    </w:p>
    <w:p>
      <w:pPr>
        <w:spacing w:line="360" w:lineRule="auto"/>
        <w:rPr>
          <w:rFonts w:hint="eastAsia" w:ascii="宋体" w:hAnsi="宋体"/>
          <w:bCs/>
          <w:sz w:val="24"/>
        </w:rPr>
      </w:pPr>
      <w:r>
        <w:rPr>
          <w:rFonts w:hint="eastAsia" w:ascii="宋体" w:hAnsi="宋体"/>
          <w:bCs/>
          <w:sz w:val="24"/>
        </w:rPr>
        <w:t xml:space="preserve">    3、</w:t>
      </w:r>
      <w:r>
        <w:rPr>
          <w:rFonts w:hint="eastAsia" w:ascii="宋体" w:hAnsi="宋体"/>
          <w:b/>
          <w:sz w:val="24"/>
        </w:rPr>
        <w:t>服务地点</w:t>
      </w:r>
      <w:r>
        <w:rPr>
          <w:rFonts w:hint="eastAsia" w:ascii="宋体" w:hAnsi="宋体"/>
          <w:bCs/>
          <w:sz w:val="24"/>
        </w:rPr>
        <w:t>：</w:t>
      </w:r>
      <w:r>
        <w:rPr>
          <w:rFonts w:hint="eastAsia" w:ascii="宋体" w:hAnsi="宋体"/>
          <w:sz w:val="24"/>
          <w:szCs w:val="24"/>
        </w:rPr>
        <w:t>宜兴市环科园新街街道静脉产业园</w:t>
      </w:r>
      <w:r>
        <w:rPr>
          <w:rFonts w:hint="eastAsia" w:ascii="宋体" w:hAnsi="宋体"/>
          <w:bCs/>
          <w:sz w:val="24"/>
        </w:rPr>
        <w:t>。</w:t>
      </w:r>
    </w:p>
    <w:p>
      <w:pPr>
        <w:spacing w:line="360" w:lineRule="auto"/>
        <w:rPr>
          <w:rFonts w:ascii="宋体" w:hAnsi="宋体"/>
          <w:bCs/>
          <w:sz w:val="24"/>
        </w:rPr>
      </w:pPr>
      <w:r>
        <w:rPr>
          <w:rFonts w:hint="eastAsia" w:ascii="宋体" w:hAnsi="宋体"/>
          <w:bCs/>
          <w:sz w:val="24"/>
        </w:rPr>
        <w:t xml:space="preserve">    4、</w:t>
      </w:r>
      <w:r>
        <w:rPr>
          <w:rFonts w:hint="eastAsia" w:ascii="宋体" w:hAnsi="宋体"/>
          <w:b/>
          <w:sz w:val="24"/>
        </w:rPr>
        <w:t>交货方法：</w:t>
      </w:r>
      <w:r>
        <w:rPr>
          <w:rFonts w:hint="eastAsia" w:ascii="宋体" w:hAnsi="宋体"/>
          <w:bCs/>
          <w:sz w:val="24"/>
          <w:u w:val="single"/>
        </w:rPr>
        <w:t>采购人自提自运，包装、运输、卸货等费用由采购人承担，</w:t>
      </w:r>
      <w:r>
        <w:rPr>
          <w:rFonts w:hint="eastAsia" w:ascii="ˎ̥" w:hAnsi="ˎ̥" w:cs="宋体"/>
          <w:kern w:val="0"/>
          <w:sz w:val="24"/>
          <w:u w:val="single"/>
        </w:rPr>
        <w:t>装车由销售方承担</w:t>
      </w:r>
      <w:r>
        <w:rPr>
          <w:rFonts w:hint="eastAsia" w:ascii="宋体" w:hAnsi="宋体"/>
          <w:bCs/>
          <w:sz w:val="24"/>
          <w:u w:val="single"/>
        </w:rPr>
        <w:t>。</w:t>
      </w:r>
    </w:p>
    <w:p>
      <w:pPr>
        <w:spacing w:line="360" w:lineRule="auto"/>
        <w:rPr>
          <w:rFonts w:ascii="宋体" w:hAnsi="宋体"/>
          <w:bCs/>
          <w:sz w:val="24"/>
          <w:u w:val="single"/>
        </w:rPr>
      </w:pPr>
      <w:r>
        <w:rPr>
          <w:rFonts w:hint="eastAsia" w:ascii="宋体" w:hAnsi="宋体"/>
          <w:bCs/>
          <w:sz w:val="24"/>
        </w:rPr>
        <w:t xml:space="preserve">    5、</w:t>
      </w:r>
      <w:r>
        <w:rPr>
          <w:rFonts w:hint="eastAsia" w:ascii="宋体" w:hAnsi="宋体"/>
          <w:b/>
          <w:sz w:val="24"/>
        </w:rPr>
        <w:t>运输车辆管理及调度：</w:t>
      </w:r>
      <w:r>
        <w:rPr>
          <w:rFonts w:hint="eastAsia" w:ascii="宋体" w:hAnsi="宋体"/>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pPr>
        <w:spacing w:line="360" w:lineRule="auto"/>
        <w:rPr>
          <w:rFonts w:ascii="宋体" w:hAnsi="宋体"/>
          <w:bCs/>
          <w:sz w:val="24"/>
          <w:u w:val="single"/>
        </w:rPr>
      </w:pPr>
      <w:r>
        <w:rPr>
          <w:rFonts w:hint="eastAsia" w:ascii="宋体" w:hAnsi="宋体"/>
          <w:bCs/>
          <w:sz w:val="24"/>
        </w:rPr>
        <w:t xml:space="preserve">    6、</w:t>
      </w:r>
      <w:r>
        <w:rPr>
          <w:rFonts w:hint="eastAsia" w:ascii="宋体" w:hAnsi="宋体"/>
          <w:b/>
          <w:sz w:val="24"/>
        </w:rPr>
        <w:t>风险转移：</w:t>
      </w:r>
      <w:r>
        <w:rPr>
          <w:rFonts w:hint="eastAsia" w:ascii="宋体" w:hAnsi="宋体"/>
          <w:bCs/>
          <w:sz w:val="24"/>
          <w:u w:val="single"/>
        </w:rPr>
        <w:t>产品毁损、灭失的风险自采购人进场运输装车后由采购人承担；装车前的风险由销售方承担。</w:t>
      </w:r>
    </w:p>
    <w:p>
      <w:pPr>
        <w:spacing w:line="360" w:lineRule="auto"/>
        <w:rPr>
          <w:rFonts w:ascii="宋体" w:hAnsi="宋体"/>
          <w:bCs/>
          <w:sz w:val="24"/>
          <w:u w:val="single"/>
        </w:rPr>
      </w:pPr>
      <w:r>
        <w:rPr>
          <w:rFonts w:hint="eastAsia" w:ascii="宋体" w:hAnsi="宋体"/>
          <w:bCs/>
          <w:sz w:val="24"/>
        </w:rPr>
        <w:t xml:space="preserve">    7、</w:t>
      </w:r>
      <w:r>
        <w:rPr>
          <w:rFonts w:hint="eastAsia" w:ascii="宋体" w:hAnsi="宋体"/>
          <w:b/>
          <w:sz w:val="24"/>
        </w:rPr>
        <w:t>产品验收</w:t>
      </w:r>
      <w:r>
        <w:rPr>
          <w:rFonts w:hint="eastAsia" w:ascii="宋体" w:hAnsi="宋体"/>
          <w:bCs/>
          <w:sz w:val="24"/>
        </w:rPr>
        <w:t>：</w:t>
      </w:r>
      <w:r>
        <w:rPr>
          <w:rFonts w:hint="eastAsia" w:ascii="宋体" w:hAnsi="宋体" w:cs="宋体"/>
          <w:sz w:val="24"/>
          <w:szCs w:val="24"/>
          <w:u w:val="single"/>
        </w:rPr>
        <w:t>甲</w:t>
      </w:r>
      <w:r>
        <w:rPr>
          <w:rFonts w:hint="eastAsia" w:ascii="宋体" w:hAnsi="宋体"/>
          <w:bCs/>
          <w:sz w:val="24"/>
          <w:u w:val="single"/>
        </w:rPr>
        <w:t>方销售产品为建筑装修垃圾资源化处置后的再生骨料，甲乙双方签订合同后即视为对产品质量无异议，</w:t>
      </w:r>
      <w:r>
        <w:rPr>
          <w:rFonts w:hint="eastAsia" w:ascii="宋体" w:hAnsi="宋体" w:cs="宋体"/>
          <w:sz w:val="24"/>
          <w:szCs w:val="24"/>
          <w:u w:val="single"/>
        </w:rPr>
        <w:t>乙方不得向甲方就货物质量问题主张任何权利，同时</w:t>
      </w:r>
      <w:r>
        <w:rPr>
          <w:rFonts w:hint="eastAsia" w:ascii="宋体" w:hAnsi="宋体"/>
          <w:bCs/>
          <w:sz w:val="24"/>
          <w:u w:val="single"/>
        </w:rPr>
        <w:t>甲方不对产品销售后的使用范围及用途承担任何责任。</w:t>
      </w:r>
    </w:p>
    <w:p>
      <w:pPr>
        <w:pStyle w:val="523"/>
        <w:spacing w:line="360" w:lineRule="auto"/>
        <w:jc w:val="left"/>
        <w:rPr>
          <w:rFonts w:cs="Times New Roman"/>
          <w:bCs/>
          <w:sz w:val="24"/>
          <w:szCs w:val="24"/>
          <w:lang w:val="en-US" w:eastAsia="zh-CN" w:bidi="ar-SA"/>
        </w:rPr>
      </w:pPr>
      <w:r>
        <w:rPr>
          <w:rFonts w:hint="eastAsia"/>
          <w:bCs/>
          <w:sz w:val="24"/>
          <w:lang w:val="en-US" w:eastAsia="zh-CN"/>
        </w:rPr>
        <w:t xml:space="preserve"> </w:t>
      </w:r>
      <w:r>
        <w:rPr>
          <w:rFonts w:hint="eastAsia" w:cs="Times New Roman"/>
          <w:bCs/>
          <w:sz w:val="24"/>
          <w:szCs w:val="24"/>
          <w:lang w:val="en-US" w:eastAsia="zh-CN" w:bidi="ar-SA"/>
        </w:rPr>
        <w:t xml:space="preserve">   8、收款方式：</w:t>
      </w:r>
    </w:p>
    <w:p>
      <w:pPr>
        <w:pStyle w:val="523"/>
        <w:spacing w:line="360" w:lineRule="auto"/>
        <w:jc w:val="left"/>
        <w:rPr>
          <w:rFonts w:cs="Times New Roman"/>
          <w:bCs/>
          <w:sz w:val="24"/>
          <w:szCs w:val="24"/>
          <w:lang w:val="en-US" w:eastAsia="zh-CN" w:bidi="ar-SA"/>
        </w:rPr>
      </w:pPr>
      <w:r>
        <w:rPr>
          <w:rFonts w:hint="eastAsia" w:cs="Times New Roman"/>
          <w:bCs/>
          <w:sz w:val="24"/>
          <w:szCs w:val="24"/>
          <w:lang w:val="en-US" w:eastAsia="zh-CN" w:bidi="ar-SA"/>
        </w:rPr>
        <w:t xml:space="preserve">   （1）、合同价款的结算：甲方与乙方每月10日前办理上月再生骨料的对账单，对账单以双方确认的过磅单为准，对账单办理完成后5个工作日内，甲方开具13%的增值税专用发票。</w:t>
      </w:r>
    </w:p>
    <w:p>
      <w:pPr>
        <w:pStyle w:val="523"/>
        <w:spacing w:line="360" w:lineRule="auto"/>
        <w:jc w:val="left"/>
        <w:rPr>
          <w:rFonts w:cs="Times New Roman"/>
          <w:bCs/>
          <w:sz w:val="24"/>
          <w:szCs w:val="24"/>
          <w:lang w:val="en-US" w:eastAsia="zh-CN" w:bidi="ar-SA"/>
        </w:rPr>
      </w:pPr>
      <w:r>
        <w:rPr>
          <w:rFonts w:hint="eastAsia" w:cs="Times New Roman"/>
          <w:bCs/>
          <w:sz w:val="24"/>
          <w:szCs w:val="24"/>
          <w:lang w:val="en-US" w:eastAsia="zh-CN" w:bidi="ar-SA"/>
        </w:rPr>
        <w:t xml:space="preserve">   （2）、合同价款的支付：</w:t>
      </w:r>
    </w:p>
    <w:p>
      <w:pPr>
        <w:pStyle w:val="523"/>
        <w:spacing w:line="360" w:lineRule="auto"/>
        <w:jc w:val="left"/>
        <w:rPr>
          <w:rFonts w:cs="Times New Roman"/>
          <w:bCs/>
          <w:sz w:val="24"/>
          <w:szCs w:val="24"/>
          <w:lang w:val="en-US" w:eastAsia="zh-CN" w:bidi="ar-SA"/>
        </w:rPr>
      </w:pPr>
      <w:r>
        <w:rPr>
          <w:rFonts w:hint="eastAsia" w:cs="Times New Roman"/>
          <w:bCs/>
          <w:sz w:val="24"/>
          <w:szCs w:val="24"/>
          <w:lang w:val="en-US" w:eastAsia="zh-CN" w:bidi="ar-SA"/>
        </w:rPr>
        <w:t xml:space="preserve">    2.1、合同签订后乙方车辆进场前，乙方须提前预存货款</w:t>
      </w:r>
      <w:r>
        <w:rPr>
          <w:rFonts w:hint="eastAsia" w:cs="Times New Roman"/>
          <w:bCs/>
          <w:sz w:val="24"/>
          <w:szCs w:val="24"/>
          <w:u w:val="single"/>
          <w:lang w:val="en-US" w:eastAsia="zh-CN" w:bidi="ar-SA"/>
        </w:rPr>
        <w:t>100000</w:t>
      </w:r>
      <w:r>
        <w:rPr>
          <w:rFonts w:hint="eastAsia" w:cs="Times New Roman"/>
          <w:bCs/>
          <w:sz w:val="24"/>
          <w:szCs w:val="24"/>
          <w:lang w:val="en-US" w:eastAsia="zh-CN" w:bidi="ar-SA"/>
        </w:rPr>
        <w:t>元。</w:t>
      </w:r>
    </w:p>
    <w:p>
      <w:pPr>
        <w:pStyle w:val="523"/>
        <w:spacing w:line="360" w:lineRule="auto"/>
        <w:jc w:val="left"/>
        <w:rPr>
          <w:rFonts w:cs="Times New Roman"/>
          <w:bCs/>
          <w:sz w:val="24"/>
          <w:szCs w:val="24"/>
          <w:lang w:val="en-US" w:eastAsia="zh-CN" w:bidi="ar-SA"/>
        </w:rPr>
      </w:pPr>
      <w:r>
        <w:rPr>
          <w:rFonts w:hint="eastAsia" w:cs="Times New Roman"/>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hint="eastAsia" w:cs="Times New Roman"/>
          <w:bCs/>
          <w:sz w:val="24"/>
          <w:szCs w:val="24"/>
          <w:u w:val="single"/>
          <w:lang w:val="en-US" w:eastAsia="zh-CN" w:bidi="ar-SA"/>
        </w:rPr>
        <w:t xml:space="preserve"> 3 </w:t>
      </w:r>
      <w:r>
        <w:rPr>
          <w:rFonts w:hint="eastAsia" w:cs="Times New Roman"/>
          <w:bCs/>
          <w:sz w:val="24"/>
          <w:szCs w:val="24"/>
          <w:lang w:val="en-US" w:eastAsia="zh-CN" w:bidi="ar-SA"/>
        </w:rPr>
        <w:t>个工作日内续存货款，每次不低于</w:t>
      </w:r>
      <w:r>
        <w:rPr>
          <w:rFonts w:hint="eastAsia" w:cs="Times New Roman"/>
          <w:bCs/>
          <w:sz w:val="24"/>
          <w:szCs w:val="24"/>
          <w:u w:val="single"/>
          <w:lang w:val="en-US" w:eastAsia="zh-CN" w:bidi="ar-SA"/>
        </w:rPr>
        <w:t>100000</w:t>
      </w:r>
      <w:r>
        <w:rPr>
          <w:rFonts w:hint="eastAsia" w:cs="Times New Roman"/>
          <w:bCs/>
          <w:sz w:val="24"/>
          <w:szCs w:val="24"/>
          <w:lang w:val="en-US" w:eastAsia="zh-CN" w:bidi="ar-SA"/>
        </w:rPr>
        <w:t>元，否则甲方有权拒绝乙方提货并算乙方违约。（催款日期以甲方发出催款通知之日起计算）</w:t>
      </w:r>
    </w:p>
    <w:p>
      <w:pPr>
        <w:spacing w:line="360" w:lineRule="auto"/>
        <w:rPr>
          <w:rFonts w:hint="eastAsia" w:ascii="宋体" w:hAnsi="宋体" w:cs="宋体"/>
          <w:sz w:val="24"/>
          <w:szCs w:val="24"/>
        </w:rPr>
      </w:pPr>
      <w:r>
        <w:rPr>
          <w:rFonts w:hint="eastAsia"/>
          <w:bCs/>
          <w:sz w:val="24"/>
          <w:szCs w:val="24"/>
        </w:rPr>
        <w:t xml:space="preserve">    3、最终结算及支付：本合同到期后，甲乙双方办理最终结算，乙方付清余款后，甲方开具与结算单金额相等的增值税专用发票。</w:t>
      </w:r>
    </w:p>
    <w:bookmarkEnd w:id="70"/>
    <w:bookmarkEnd w:id="71"/>
    <w:bookmarkEnd w:id="72"/>
    <w:bookmarkEnd w:id="73"/>
    <w:bookmarkEnd w:id="74"/>
    <w:bookmarkEnd w:id="75"/>
    <w:bookmarkEnd w:id="76"/>
    <w:p>
      <w:pPr>
        <w:jc w:val="center"/>
        <w:rPr>
          <w:rFonts w:ascii="黑体" w:hAnsi="黑体" w:eastAsia="黑体" w:cs="黑体"/>
          <w:color w:val="000000"/>
          <w:sz w:val="44"/>
          <w:szCs w:val="44"/>
        </w:rPr>
      </w:pPr>
      <w:r>
        <w:rPr>
          <w:rFonts w:ascii="黑体" w:hAnsi="黑体" w:eastAsia="黑体" w:cs="黑体"/>
          <w:color w:val="000000"/>
          <w:sz w:val="44"/>
          <w:szCs w:val="44"/>
        </w:rPr>
        <w:br w:type="page"/>
      </w:r>
      <w:r>
        <w:rPr>
          <w:rFonts w:hint="eastAsia" w:ascii="黑体" w:hAnsi="黑体" w:eastAsia="黑体" w:cs="黑体"/>
          <w:color w:val="000000"/>
          <w:sz w:val="44"/>
          <w:szCs w:val="44"/>
        </w:rPr>
        <w:t>合同书</w:t>
      </w:r>
    </w:p>
    <w:p>
      <w:pPr>
        <w:spacing w:line="360" w:lineRule="auto"/>
        <w:ind w:firstLine="480" w:firstLineChars="200"/>
        <w:rPr>
          <w:rFonts w:ascii="宋体" w:hAnsi="宋体"/>
          <w:bCs/>
          <w:sz w:val="24"/>
        </w:rPr>
      </w:pPr>
    </w:p>
    <w:p>
      <w:pPr>
        <w:rPr>
          <w:rFonts w:ascii="宋体" w:hAnsi="宋体"/>
          <w:bCs/>
          <w:sz w:val="24"/>
        </w:rPr>
      </w:pPr>
      <w:r>
        <w:rPr>
          <w:rFonts w:hint="eastAsia" w:ascii="宋体" w:hAnsi="宋体"/>
          <w:bCs/>
          <w:sz w:val="24"/>
          <w:szCs w:val="24"/>
        </w:rPr>
        <w:t>销售方（甲方）：宜兴市公用建环资源循环利用有限公司</w:t>
      </w:r>
    </w:p>
    <w:p>
      <w:pPr>
        <w:rPr>
          <w:rFonts w:ascii="宋体" w:hAnsi="宋体"/>
          <w:bCs/>
          <w:sz w:val="24"/>
        </w:rPr>
      </w:pPr>
      <w:r>
        <w:rPr>
          <w:rFonts w:hint="eastAsia" w:ascii="宋体" w:hAnsi="宋体"/>
          <w:bCs/>
          <w:sz w:val="24"/>
          <w:szCs w:val="24"/>
        </w:rPr>
        <w:t>采购人（乙方）：</w:t>
      </w:r>
    </w:p>
    <w:p>
      <w:pPr>
        <w:ind w:firstLine="480" w:firstLineChars="200"/>
        <w:rPr>
          <w:rFonts w:ascii="宋体" w:hAnsi="宋体"/>
          <w:bCs/>
          <w:sz w:val="24"/>
        </w:rPr>
      </w:pPr>
      <w:r>
        <w:rPr>
          <w:rFonts w:hint="eastAsia" w:ascii="宋体" w:hAnsi="宋体"/>
          <w:bCs/>
          <w:sz w:val="24"/>
          <w:szCs w:val="24"/>
        </w:rPr>
        <w:t>根据《中华人民共和国民法典》等相关法律法规，甲、乙双方在平等、自愿、公平和诚实信用的基础上就甲方建筑装修垃圾处置后的再生骨料（以下简称</w:t>
      </w:r>
      <w:r>
        <w:rPr>
          <w:rFonts w:hint="eastAsia" w:ascii="宋体" w:hAnsi="宋体"/>
          <w:bCs/>
          <w:sz w:val="24"/>
          <w:szCs w:val="24"/>
          <w:lang w:val="zh-CN"/>
        </w:rPr>
        <w:t>“产</w:t>
      </w:r>
      <w:r>
        <w:rPr>
          <w:rFonts w:hint="eastAsia" w:ascii="宋体" w:hAnsi="宋体"/>
          <w:bCs/>
          <w:sz w:val="24"/>
          <w:szCs w:val="24"/>
        </w:rPr>
        <w:t>品”）销售给乙方事宜协商一致，签订本合同。</w:t>
      </w:r>
    </w:p>
    <w:p>
      <w:pPr>
        <w:ind w:firstLine="482" w:firstLineChars="200"/>
        <w:rPr>
          <w:rFonts w:ascii="宋体" w:hAnsi="宋体"/>
          <w:b/>
          <w:sz w:val="24"/>
        </w:rPr>
      </w:pPr>
      <w:r>
        <w:rPr>
          <w:rFonts w:hint="eastAsia" w:ascii="宋体" w:hAnsi="宋体"/>
          <w:b/>
          <w:sz w:val="24"/>
          <w:szCs w:val="24"/>
        </w:rPr>
        <w:t>第</w:t>
      </w:r>
      <w:r>
        <w:rPr>
          <w:rFonts w:hint="eastAsia" w:ascii="宋体" w:hAnsi="宋体"/>
          <w:b/>
          <w:sz w:val="24"/>
          <w:szCs w:val="24"/>
          <w:lang w:val="zh-CN"/>
        </w:rPr>
        <w:t xml:space="preserve">一条 </w:t>
      </w:r>
      <w:r>
        <w:rPr>
          <w:rFonts w:hint="eastAsia" w:ascii="宋体" w:hAnsi="宋体"/>
          <w:b/>
          <w:sz w:val="24"/>
          <w:szCs w:val="24"/>
        </w:rPr>
        <w:t>产品概况</w:t>
      </w:r>
    </w:p>
    <w:p>
      <w:pPr>
        <w:ind w:firstLine="480" w:firstLineChars="200"/>
        <w:rPr>
          <w:rFonts w:ascii="宋体" w:hAnsi="宋体"/>
          <w:bCs/>
          <w:sz w:val="24"/>
        </w:rPr>
      </w:pPr>
      <w:r>
        <w:rPr>
          <w:rFonts w:hint="eastAsia" w:ascii="宋体" w:hAnsi="宋体"/>
          <w:bCs/>
          <w:sz w:val="24"/>
          <w:szCs w:val="24"/>
        </w:rPr>
        <w:t>1、产品概况：销售方销售的产品为建筑装修垃圾处置后的产品，鉴于销售方产品的特殊性，采购方签订合同后，任何对产品的质量、杂质率等任何异议均不被销售方接受。</w:t>
      </w:r>
    </w:p>
    <w:p>
      <w:pPr>
        <w:ind w:firstLine="480" w:firstLineChars="200"/>
        <w:rPr>
          <w:rFonts w:ascii="宋体" w:hAnsi="宋体"/>
          <w:bCs/>
          <w:sz w:val="24"/>
        </w:rPr>
      </w:pPr>
      <w:r>
        <w:rPr>
          <w:rFonts w:hint="eastAsia" w:ascii="宋体" w:hAnsi="宋体"/>
          <w:bCs/>
          <w:sz w:val="24"/>
          <w:szCs w:val="24"/>
        </w:rPr>
        <w:t>2、产品的名称、规格、价格：</w:t>
      </w:r>
    </w:p>
    <w:tbl>
      <w:tblPr>
        <w:tblStyle w:val="75"/>
        <w:tblW w:w="46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649"/>
        <w:gridCol w:w="1983"/>
        <w:gridCol w:w="1846"/>
        <w:gridCol w:w="2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noWrap/>
            <w:vAlign w:val="top"/>
          </w:tcPr>
          <w:p>
            <w:pPr>
              <w:jc w:val="center"/>
              <w:rPr>
                <w:rFonts w:ascii="宋体" w:hAnsi="宋体"/>
                <w:b/>
                <w:bCs/>
                <w:sz w:val="24"/>
              </w:rPr>
            </w:pPr>
            <w:r>
              <w:rPr>
                <w:rFonts w:hint="eastAsia" w:ascii="宋体" w:hAnsi="宋体"/>
                <w:b/>
                <w:bCs/>
                <w:sz w:val="24"/>
                <w:szCs w:val="24"/>
              </w:rPr>
              <w:t>序号</w:t>
            </w:r>
          </w:p>
        </w:tc>
        <w:tc>
          <w:tcPr>
            <w:tcW w:w="950" w:type="pct"/>
            <w:noWrap/>
            <w:vAlign w:val="top"/>
          </w:tcPr>
          <w:p>
            <w:pPr>
              <w:jc w:val="center"/>
              <w:rPr>
                <w:rFonts w:ascii="宋体" w:hAnsi="宋体"/>
                <w:b/>
                <w:bCs/>
                <w:sz w:val="24"/>
              </w:rPr>
            </w:pPr>
            <w:r>
              <w:rPr>
                <w:rFonts w:hint="eastAsia" w:ascii="宋体" w:hAnsi="宋体"/>
                <w:b/>
                <w:bCs/>
                <w:sz w:val="24"/>
                <w:szCs w:val="24"/>
              </w:rPr>
              <w:t>产品名称</w:t>
            </w:r>
          </w:p>
        </w:tc>
        <w:tc>
          <w:tcPr>
            <w:tcW w:w="1142" w:type="pct"/>
            <w:noWrap/>
            <w:vAlign w:val="top"/>
          </w:tcPr>
          <w:p>
            <w:pPr>
              <w:jc w:val="center"/>
              <w:rPr>
                <w:rFonts w:ascii="宋体" w:hAnsi="宋体"/>
                <w:b/>
                <w:bCs/>
                <w:sz w:val="24"/>
              </w:rPr>
            </w:pPr>
            <w:r>
              <w:rPr>
                <w:rFonts w:hint="eastAsia" w:ascii="宋体" w:hAnsi="宋体"/>
                <w:b/>
                <w:bCs/>
                <w:sz w:val="24"/>
                <w:szCs w:val="24"/>
              </w:rPr>
              <w:t>规格</w:t>
            </w:r>
          </w:p>
        </w:tc>
        <w:tc>
          <w:tcPr>
            <w:tcW w:w="1063" w:type="pct"/>
            <w:noWrap/>
            <w:vAlign w:val="top"/>
          </w:tcPr>
          <w:p>
            <w:pPr>
              <w:jc w:val="center"/>
              <w:rPr>
                <w:rFonts w:ascii="宋体" w:hAnsi="宋体"/>
                <w:b/>
                <w:bCs/>
                <w:sz w:val="24"/>
              </w:rPr>
            </w:pPr>
            <w:r>
              <w:rPr>
                <w:rFonts w:hint="eastAsia" w:ascii="宋体" w:hAnsi="宋体"/>
                <w:b/>
                <w:bCs/>
                <w:sz w:val="24"/>
                <w:szCs w:val="24"/>
              </w:rPr>
              <w:t>单价（元/吨）</w:t>
            </w:r>
          </w:p>
        </w:tc>
        <w:tc>
          <w:tcPr>
            <w:tcW w:w="1223" w:type="pct"/>
            <w:noWrap/>
            <w:vAlign w:val="top"/>
          </w:tcPr>
          <w:p>
            <w:pPr>
              <w:jc w:val="center"/>
              <w:rPr>
                <w:rFonts w:ascii="宋体" w:hAnsi="宋体"/>
                <w:b/>
                <w:bCs/>
                <w:sz w:val="24"/>
              </w:rPr>
            </w:pPr>
            <w:r>
              <w:rPr>
                <w:rFonts w:hint="eastAsia" w:ascii="宋体" w:hAnsi="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noWrap/>
            <w:vAlign w:val="top"/>
          </w:tcPr>
          <w:p>
            <w:pPr>
              <w:jc w:val="center"/>
              <w:rPr>
                <w:rFonts w:ascii="宋体" w:hAnsi="宋体"/>
                <w:sz w:val="24"/>
              </w:rPr>
            </w:pPr>
            <w:r>
              <w:rPr>
                <w:rFonts w:hint="eastAsia" w:ascii="宋体" w:hAnsi="宋体"/>
                <w:sz w:val="24"/>
                <w:szCs w:val="24"/>
              </w:rPr>
              <w:t>1</w:t>
            </w:r>
          </w:p>
        </w:tc>
        <w:tc>
          <w:tcPr>
            <w:tcW w:w="950" w:type="pct"/>
            <w:noWrap/>
            <w:vAlign w:val="top"/>
          </w:tcPr>
          <w:p>
            <w:pPr>
              <w:jc w:val="center"/>
              <w:rPr>
                <w:rFonts w:ascii="宋体" w:hAnsi="宋体"/>
                <w:sz w:val="24"/>
              </w:rPr>
            </w:pPr>
            <w:r>
              <w:rPr>
                <w:rFonts w:hint="eastAsia" w:ascii="宋体" w:hAnsi="宋体"/>
                <w:sz w:val="24"/>
                <w:szCs w:val="24"/>
              </w:rPr>
              <w:t>骨料</w:t>
            </w:r>
          </w:p>
        </w:tc>
        <w:tc>
          <w:tcPr>
            <w:tcW w:w="1142" w:type="pct"/>
            <w:noWrap/>
            <w:vAlign w:val="top"/>
          </w:tcPr>
          <w:p>
            <w:pPr>
              <w:jc w:val="center"/>
              <w:rPr>
                <w:rFonts w:ascii="宋体" w:hAnsi="宋体"/>
                <w:sz w:val="24"/>
              </w:rPr>
            </w:pPr>
            <w:r>
              <w:rPr>
                <w:rFonts w:hint="eastAsia" w:ascii="宋体" w:hAnsi="宋体"/>
                <w:sz w:val="24"/>
                <w:szCs w:val="24"/>
              </w:rPr>
              <w:t>100-150mm</w:t>
            </w:r>
          </w:p>
        </w:tc>
        <w:tc>
          <w:tcPr>
            <w:tcW w:w="1063" w:type="pct"/>
            <w:noWrap/>
            <w:vAlign w:val="top"/>
          </w:tcPr>
          <w:p>
            <w:pPr>
              <w:jc w:val="center"/>
              <w:rPr>
                <w:rFonts w:ascii="宋体" w:hAnsi="宋体"/>
                <w:sz w:val="24"/>
              </w:rPr>
            </w:pPr>
          </w:p>
        </w:tc>
        <w:tc>
          <w:tcPr>
            <w:tcW w:w="1223" w:type="pct"/>
            <w:noWrap/>
            <w:vAlign w:val="top"/>
          </w:tcPr>
          <w:p>
            <w:pPr>
              <w:jc w:val="center"/>
              <w:rPr>
                <w:rFonts w:ascii="宋体" w:hAnsi="宋体"/>
                <w:sz w:val="24"/>
              </w:rPr>
            </w:pPr>
            <w:r>
              <w:rPr>
                <w:rFonts w:hint="eastAsia" w:ascii="宋体" w:hAnsi="宋体"/>
                <w:szCs w:val="21"/>
              </w:rPr>
              <w:t>含13%增值税</w:t>
            </w:r>
          </w:p>
        </w:tc>
      </w:tr>
    </w:tbl>
    <w:p>
      <w:pPr>
        <w:ind w:firstLine="480" w:firstLineChars="200"/>
        <w:rPr>
          <w:rFonts w:hint="eastAsia" w:ascii="宋体" w:hAnsi="宋体"/>
          <w:sz w:val="24"/>
          <w:szCs w:val="24"/>
        </w:rPr>
      </w:pPr>
      <w:r>
        <w:rPr>
          <w:rFonts w:hint="eastAsia" w:ascii="宋体" w:hAnsi="宋体"/>
          <w:sz w:val="24"/>
          <w:szCs w:val="24"/>
        </w:rPr>
        <w:t>备注：</w:t>
      </w:r>
    </w:p>
    <w:p>
      <w:pPr>
        <w:ind w:firstLine="480" w:firstLineChars="200"/>
        <w:rPr>
          <w:rFonts w:hint="eastAsia" w:ascii="ˎ̥" w:hAnsi="ˎ̥" w:cs="宋体"/>
          <w:kern w:val="0"/>
          <w:sz w:val="24"/>
          <w:u w:val="single"/>
        </w:rPr>
      </w:pPr>
      <w:r>
        <w:rPr>
          <w:rFonts w:hint="eastAsia" w:ascii="宋体" w:hAnsi="宋体"/>
          <w:sz w:val="24"/>
          <w:szCs w:val="24"/>
        </w:rPr>
        <w:t>①</w:t>
      </w:r>
      <w:r>
        <w:rPr>
          <w:rFonts w:hint="eastAsia" w:ascii="宋体" w:hAnsi="宋体"/>
          <w:sz w:val="24"/>
        </w:rPr>
        <w:t>、本合同为单价合同，投标单价</w:t>
      </w:r>
      <w:r>
        <w:rPr>
          <w:rFonts w:hint="eastAsia" w:ascii="ˎ̥" w:hAnsi="ˎ̥" w:cs="宋体"/>
          <w:kern w:val="0"/>
          <w:sz w:val="24"/>
          <w:u w:val="single"/>
        </w:rPr>
        <w:t>应全部考虑了包括所有货物、调试、人力、机械、运输、仓储、各种税费、劳保、专利技术、质保、政策性文件规定及合同包含的所有风险、责任等各项所有费用。</w:t>
      </w:r>
    </w:p>
    <w:p>
      <w:pPr>
        <w:ind w:firstLine="480" w:firstLineChars="200"/>
        <w:rPr>
          <w:rFonts w:ascii="宋体" w:hAnsi="宋体"/>
          <w:sz w:val="24"/>
        </w:rPr>
      </w:pPr>
      <w:r>
        <w:rPr>
          <w:rFonts w:hint="eastAsia" w:ascii="ˎ̥" w:hAnsi="ˎ̥" w:cs="宋体"/>
          <w:kern w:val="0"/>
          <w:sz w:val="24"/>
          <w:u w:val="single"/>
        </w:rPr>
        <w:t>②、所有货品以实际数量结算。</w:t>
      </w:r>
    </w:p>
    <w:p>
      <w:pPr>
        <w:numPr>
          <w:ilvl w:val="0"/>
          <w:numId w:val="24"/>
        </w:numPr>
        <w:ind w:firstLine="482" w:firstLineChars="200"/>
        <w:rPr>
          <w:rFonts w:ascii="宋体" w:hAnsi="宋体"/>
          <w:b/>
          <w:sz w:val="24"/>
        </w:rPr>
      </w:pPr>
      <w:r>
        <w:rPr>
          <w:rFonts w:hint="eastAsia" w:ascii="宋体" w:hAnsi="宋体"/>
          <w:b/>
          <w:sz w:val="24"/>
          <w:szCs w:val="24"/>
        </w:rPr>
        <w:t xml:space="preserve"> 计量方法</w:t>
      </w:r>
    </w:p>
    <w:p>
      <w:pPr>
        <w:ind w:firstLine="480" w:firstLineChars="200"/>
        <w:rPr>
          <w:rFonts w:ascii="宋体" w:hAnsi="宋体"/>
          <w:bCs/>
          <w:sz w:val="24"/>
        </w:rPr>
      </w:pPr>
      <w:r>
        <w:rPr>
          <w:rFonts w:hint="eastAsia" w:ascii="宋体" w:hAnsi="宋体"/>
          <w:bCs/>
          <w:sz w:val="24"/>
          <w:szCs w:val="24"/>
        </w:rPr>
        <w:t xml:space="preserve">由甲方地磅对出厂产品进行计量后出具磅单，并经甲乙双方签字确认后作为结算依据。 </w:t>
      </w:r>
    </w:p>
    <w:p>
      <w:pPr>
        <w:ind w:firstLine="482" w:firstLineChars="200"/>
        <w:rPr>
          <w:rFonts w:ascii="宋体" w:hAnsi="宋体"/>
          <w:b/>
          <w:sz w:val="24"/>
        </w:rPr>
      </w:pPr>
      <w:r>
        <w:rPr>
          <w:rFonts w:hint="eastAsia" w:ascii="宋体" w:hAnsi="宋体"/>
          <w:b/>
          <w:sz w:val="24"/>
          <w:szCs w:val="24"/>
        </w:rPr>
        <w:t>第三条  合同期限</w:t>
      </w:r>
    </w:p>
    <w:p>
      <w:pPr>
        <w:ind w:firstLine="480" w:firstLineChars="200"/>
        <w:rPr>
          <w:rFonts w:ascii="宋体" w:hAnsi="宋体"/>
          <w:bCs/>
          <w:sz w:val="24"/>
        </w:rPr>
      </w:pPr>
      <w:r>
        <w:rPr>
          <w:rFonts w:hint="eastAsia" w:ascii="宋体" w:hAnsi="宋体"/>
          <w:bCs/>
          <w:sz w:val="24"/>
          <w:szCs w:val="24"/>
        </w:rPr>
        <w:t>1、本合同自中标之日起至</w:t>
      </w:r>
      <w:r>
        <w:rPr>
          <w:rFonts w:hint="eastAsia" w:ascii="宋体" w:hAnsi="宋体"/>
          <w:sz w:val="24"/>
          <w:szCs w:val="24"/>
          <w:u w:val="single"/>
        </w:rPr>
        <w:t>2021年12月31日</w:t>
      </w:r>
      <w:r>
        <w:rPr>
          <w:rFonts w:hint="eastAsia" w:ascii="宋体" w:hAnsi="宋体"/>
          <w:bCs/>
          <w:sz w:val="24"/>
          <w:szCs w:val="24"/>
        </w:rPr>
        <w:t>有效。</w:t>
      </w:r>
    </w:p>
    <w:p>
      <w:pPr>
        <w:ind w:firstLine="480" w:firstLineChars="200"/>
        <w:rPr>
          <w:rFonts w:hint="eastAsia" w:ascii="宋体" w:hAnsi="宋体"/>
          <w:bCs/>
          <w:sz w:val="24"/>
          <w:szCs w:val="24"/>
        </w:rPr>
      </w:pPr>
      <w:r>
        <w:rPr>
          <w:rFonts w:hint="eastAsia" w:ascii="宋体" w:hAnsi="宋体"/>
          <w:bCs/>
          <w:sz w:val="24"/>
          <w:szCs w:val="24"/>
        </w:rPr>
        <w:t>2、调价方案</w:t>
      </w:r>
    </w:p>
    <w:p>
      <w:pPr>
        <w:widowControl/>
        <w:ind w:firstLine="240" w:firstLineChars="100"/>
        <w:jc w:val="left"/>
        <w:rPr>
          <w:rFonts w:ascii="宋体" w:hAnsi="宋体"/>
          <w:sz w:val="24"/>
          <w:szCs w:val="24"/>
        </w:rPr>
      </w:pPr>
      <w:r>
        <w:rPr>
          <w:rFonts w:hint="eastAsia" w:ascii="宋体" w:hAnsi="宋体"/>
          <w:sz w:val="24"/>
          <w:szCs w:val="24"/>
        </w:rPr>
        <w:t xml:space="preserve">  (1)本次出售的100-150mm骨料调价依据“无锡工程造价信息” 2021年第8期发布的毛片价格为基准价，本项目的毛片初始基准价为110.06元/吨（含税）。</w:t>
      </w:r>
    </w:p>
    <w:p>
      <w:pPr>
        <w:widowControl/>
        <w:ind w:firstLine="480" w:firstLineChars="200"/>
        <w:jc w:val="left"/>
        <w:rPr>
          <w:rFonts w:ascii="宋体" w:hAnsi="宋体"/>
          <w:sz w:val="24"/>
          <w:szCs w:val="24"/>
        </w:rPr>
      </w:pPr>
      <w:r>
        <w:rPr>
          <w:rFonts w:hint="eastAsia" w:ascii="宋体" w:hAnsi="宋体"/>
          <w:sz w:val="24"/>
          <w:szCs w:val="24"/>
        </w:rPr>
        <w:t>毛片价格调价幅度%=（毛片当期价格-毛片基准价）/毛片基准价</w:t>
      </w:r>
    </w:p>
    <w:p>
      <w:pPr>
        <w:ind w:firstLine="480" w:firstLineChars="200"/>
        <w:jc w:val="left"/>
        <w:rPr>
          <w:rFonts w:hint="eastAsia" w:ascii="宋体" w:hAnsi="宋体"/>
          <w:sz w:val="24"/>
          <w:szCs w:val="24"/>
        </w:rPr>
      </w:pPr>
      <w:r>
        <w:rPr>
          <w:rFonts w:hint="eastAsia" w:ascii="宋体" w:hAnsi="宋体"/>
          <w:sz w:val="24"/>
          <w:szCs w:val="24"/>
        </w:rPr>
        <w:t xml:space="preserve">调价公式： </w:t>
      </w:r>
    </w:p>
    <w:tbl>
      <w:tblPr>
        <w:tblStyle w:val="75"/>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1605"/>
        <w:gridCol w:w="1559"/>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454"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商品全名</w:t>
            </w:r>
          </w:p>
        </w:tc>
        <w:tc>
          <w:tcPr>
            <w:tcW w:w="1605"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规格</w:t>
            </w:r>
          </w:p>
        </w:tc>
        <w:tc>
          <w:tcPr>
            <w:tcW w:w="1559"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单价（元/吨）</w:t>
            </w:r>
          </w:p>
        </w:tc>
        <w:tc>
          <w:tcPr>
            <w:tcW w:w="3923" w:type="dxa"/>
            <w:noWrap w:val="0"/>
            <w:vAlign w:val="center"/>
          </w:tcPr>
          <w:p>
            <w:pPr>
              <w:widowControl/>
              <w:jc w:val="center"/>
              <w:rPr>
                <w:rFonts w:hint="eastAsia" w:ascii="宋体" w:hAnsi="宋体" w:cs="Arial"/>
                <w:color w:val="000000"/>
                <w:kern w:val="0"/>
                <w:sz w:val="24"/>
                <w:szCs w:val="24"/>
              </w:rPr>
            </w:pPr>
            <w:r>
              <w:rPr>
                <w:rFonts w:hint="eastAsia" w:ascii="宋体" w:hAnsi="宋体" w:cs="Arial"/>
                <w:color w:val="000000"/>
                <w:kern w:val="0"/>
                <w:sz w:val="24"/>
                <w:szCs w:val="24"/>
              </w:rPr>
              <w:t>调价公式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54"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骨料</w:t>
            </w:r>
          </w:p>
        </w:tc>
        <w:tc>
          <w:tcPr>
            <w:tcW w:w="1605" w:type="dxa"/>
            <w:shd w:val="clear" w:color="FFFFFF" w:fill="FFFFFF"/>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100-150mm</w:t>
            </w:r>
          </w:p>
        </w:tc>
        <w:tc>
          <w:tcPr>
            <w:tcW w:w="1559" w:type="dxa"/>
            <w:shd w:val="clear" w:color="FFFFFF" w:fill="FFFFFF"/>
            <w:noWrap w:val="0"/>
            <w:vAlign w:val="center"/>
          </w:tcPr>
          <w:p>
            <w:pPr>
              <w:widowControl/>
              <w:jc w:val="center"/>
              <w:rPr>
                <w:rFonts w:ascii="宋体" w:hAnsi="宋体" w:cs="Arial"/>
                <w:color w:val="000000"/>
                <w:kern w:val="0"/>
                <w:sz w:val="24"/>
                <w:szCs w:val="24"/>
              </w:rPr>
            </w:pPr>
          </w:p>
        </w:tc>
        <w:tc>
          <w:tcPr>
            <w:tcW w:w="3923" w:type="dxa"/>
            <w:noWrap w:val="0"/>
            <w:vAlign w:val="center"/>
          </w:tcPr>
          <w:p>
            <w:pPr>
              <w:jc w:val="center"/>
              <w:rPr>
                <w:rFonts w:ascii="宋体" w:hAnsi="宋体" w:cs="Arial"/>
                <w:color w:val="000000"/>
                <w:sz w:val="24"/>
                <w:szCs w:val="24"/>
              </w:rPr>
            </w:pPr>
            <w:r>
              <w:rPr>
                <w:rFonts w:hint="eastAsia" w:ascii="宋体" w:hAnsi="宋体"/>
                <w:sz w:val="24"/>
                <w:szCs w:val="24"/>
              </w:rPr>
              <w:t>当期结算价格=合同价格*（1±</w:t>
            </w:r>
            <w:r>
              <w:rPr>
                <w:rFonts w:hint="eastAsia" w:ascii="宋体" w:hAnsi="宋体"/>
                <w:color w:val="FF0000"/>
                <w:sz w:val="24"/>
                <w:szCs w:val="24"/>
              </w:rPr>
              <w:t>毛片</w:t>
            </w:r>
            <w:r>
              <w:rPr>
                <w:rFonts w:hint="eastAsia" w:ascii="宋体" w:hAnsi="宋体"/>
                <w:sz w:val="24"/>
                <w:szCs w:val="24"/>
              </w:rPr>
              <w:t>价格调价幅度%*20%）</w:t>
            </w:r>
          </w:p>
        </w:tc>
      </w:tr>
    </w:tbl>
    <w:p>
      <w:pPr>
        <w:rPr>
          <w:rFonts w:ascii="宋体" w:hAnsi="宋体"/>
          <w:bCs/>
          <w:sz w:val="24"/>
          <w:szCs w:val="24"/>
        </w:rPr>
      </w:pPr>
      <w:r>
        <w:rPr>
          <w:rFonts w:hint="eastAsia" w:ascii="宋体" w:hAnsi="宋体"/>
          <w:sz w:val="24"/>
          <w:szCs w:val="24"/>
        </w:rPr>
        <w:t xml:space="preserve">  （2）调价频次：本次招标不调价。</w:t>
      </w:r>
    </w:p>
    <w:p>
      <w:pPr>
        <w:ind w:firstLine="482" w:firstLineChars="200"/>
        <w:rPr>
          <w:rFonts w:ascii="宋体" w:hAnsi="宋体"/>
          <w:b/>
          <w:sz w:val="24"/>
        </w:rPr>
      </w:pPr>
      <w:r>
        <w:rPr>
          <w:rFonts w:hint="eastAsia" w:ascii="宋体" w:hAnsi="宋体"/>
          <w:b/>
          <w:sz w:val="24"/>
          <w:szCs w:val="24"/>
        </w:rPr>
        <w:t>第四条  产品交付</w:t>
      </w:r>
    </w:p>
    <w:p>
      <w:pPr>
        <w:pStyle w:val="131"/>
        <w:ind w:firstLine="480" w:firstLineChars="200"/>
        <w:rPr>
          <w:rFonts w:ascii="宋体" w:hAnsi="宋体"/>
          <w:bCs/>
          <w:sz w:val="24"/>
          <w:szCs w:val="24"/>
          <w:u w:val="single"/>
        </w:rPr>
      </w:pPr>
      <w:r>
        <w:rPr>
          <w:rFonts w:hint="eastAsia" w:ascii="宋体" w:hAnsi="宋体"/>
          <w:bCs/>
          <w:sz w:val="24"/>
          <w:szCs w:val="24"/>
        </w:rPr>
        <w:t>1、交付地点：</w:t>
      </w:r>
      <w:r>
        <w:rPr>
          <w:rFonts w:hint="eastAsia" w:ascii="宋体" w:hAnsi="宋体"/>
          <w:bCs/>
          <w:sz w:val="24"/>
          <w:szCs w:val="24"/>
          <w:u w:val="single"/>
        </w:rPr>
        <w:t>宜兴市环科院新街街道静脉产业园</w:t>
      </w:r>
    </w:p>
    <w:p>
      <w:pPr>
        <w:pStyle w:val="131"/>
        <w:ind w:right="170" w:firstLine="480" w:firstLineChars="200"/>
        <w:rPr>
          <w:rFonts w:ascii="宋体" w:hAnsi="宋体"/>
          <w:bCs/>
          <w:sz w:val="24"/>
          <w:szCs w:val="24"/>
          <w:u w:val="single"/>
        </w:rPr>
      </w:pPr>
      <w:r>
        <w:rPr>
          <w:rFonts w:hint="eastAsia" w:ascii="宋体" w:hAnsi="宋体"/>
          <w:bCs/>
          <w:sz w:val="24"/>
          <w:szCs w:val="24"/>
        </w:rPr>
        <w:t>2、交付方式：</w:t>
      </w:r>
      <w:r>
        <w:rPr>
          <w:rFonts w:hint="eastAsia" w:ascii="宋体" w:hAnsi="宋体"/>
          <w:bCs/>
          <w:sz w:val="24"/>
          <w:szCs w:val="24"/>
          <w:u w:val="single"/>
        </w:rPr>
        <w:t>乙方到骨料堆放地自提自运，并承担包装和运输等费用；甲方配合装车</w:t>
      </w:r>
      <w:r>
        <w:rPr>
          <w:rStyle w:val="89"/>
          <w:rFonts w:hint="eastAsia" w:ascii="Times New Roman" w:hAnsi="Times New Roman"/>
          <w:u w:val="single"/>
        </w:rPr>
        <w:t>，</w:t>
      </w:r>
      <w:r>
        <w:rPr>
          <w:rFonts w:hint="eastAsia" w:ascii="宋体" w:hAnsi="宋体"/>
          <w:bCs/>
          <w:sz w:val="24"/>
          <w:szCs w:val="24"/>
          <w:u w:val="single"/>
        </w:rPr>
        <w:t>装车费用由甲方承担。</w:t>
      </w:r>
    </w:p>
    <w:p>
      <w:pPr>
        <w:pStyle w:val="131"/>
        <w:ind w:right="170" w:firstLine="480" w:firstLineChars="200"/>
        <w:rPr>
          <w:rFonts w:ascii="宋体" w:hAnsi="宋体"/>
          <w:bCs/>
          <w:sz w:val="24"/>
          <w:szCs w:val="24"/>
          <w:u w:val="single"/>
        </w:rPr>
      </w:pPr>
      <w:r>
        <w:rPr>
          <w:rFonts w:hint="eastAsia" w:ascii="宋体" w:hAnsi="宋体"/>
          <w:bCs/>
          <w:sz w:val="24"/>
          <w:szCs w:val="24"/>
        </w:rPr>
        <w:t>3、运输方式：</w:t>
      </w:r>
      <w:r>
        <w:rPr>
          <w:rFonts w:hint="eastAsia" w:ascii="宋体" w:hAnsi="宋体"/>
          <w:bCs/>
          <w:sz w:val="24"/>
          <w:szCs w:val="24"/>
          <w:u w:val="single"/>
        </w:rPr>
        <w:t>由乙方自行决定。</w:t>
      </w:r>
    </w:p>
    <w:p>
      <w:pPr>
        <w:ind w:firstLine="480" w:firstLineChars="200"/>
        <w:rPr>
          <w:rFonts w:ascii="宋体" w:hAnsi="宋体"/>
          <w:bCs/>
          <w:sz w:val="24"/>
          <w:u w:val="single"/>
        </w:rPr>
      </w:pPr>
      <w:r>
        <w:rPr>
          <w:rFonts w:hint="eastAsia" w:ascii="宋体" w:hAnsi="宋体"/>
          <w:bCs/>
          <w:sz w:val="24"/>
          <w:szCs w:val="24"/>
        </w:rPr>
        <w:t>4、</w:t>
      </w:r>
      <w:r>
        <w:rPr>
          <w:rFonts w:hint="eastAsia" w:ascii="宋体" w:hAnsi="宋体"/>
          <w:bCs/>
          <w:sz w:val="24"/>
        </w:rPr>
        <w:t>运输车辆管理及调度：</w:t>
      </w:r>
      <w:r>
        <w:rPr>
          <w:rFonts w:hint="eastAsia" w:ascii="宋体" w:hAnsi="宋体"/>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pPr>
        <w:ind w:firstLine="480" w:firstLineChars="200"/>
        <w:rPr>
          <w:rFonts w:ascii="宋体" w:hAnsi="宋体"/>
          <w:bCs/>
          <w:sz w:val="24"/>
          <w:u w:val="single"/>
        </w:rPr>
      </w:pPr>
      <w:r>
        <w:rPr>
          <w:rFonts w:hint="eastAsia" w:ascii="宋体" w:hAnsi="宋体"/>
          <w:bCs/>
          <w:sz w:val="24"/>
          <w:szCs w:val="24"/>
        </w:rPr>
        <w:t>5、风险转移：</w:t>
      </w:r>
      <w:r>
        <w:rPr>
          <w:rFonts w:hint="eastAsia" w:ascii="宋体" w:hAnsi="宋体"/>
          <w:bCs/>
          <w:sz w:val="24"/>
          <w:szCs w:val="24"/>
          <w:u w:val="single"/>
        </w:rPr>
        <w:t>产品毁损、灭失的风险自采购人进场运输装车后由采购人承担；装车前的风险由销售方承担。</w:t>
      </w:r>
    </w:p>
    <w:p>
      <w:pPr>
        <w:ind w:firstLine="482" w:firstLineChars="200"/>
        <w:rPr>
          <w:rFonts w:ascii="宋体" w:hAnsi="宋体"/>
          <w:b/>
          <w:sz w:val="24"/>
        </w:rPr>
      </w:pPr>
      <w:r>
        <w:rPr>
          <w:rFonts w:hint="eastAsia" w:ascii="宋体" w:hAnsi="宋体"/>
          <w:b/>
          <w:sz w:val="24"/>
          <w:szCs w:val="24"/>
        </w:rPr>
        <w:t>第五条  产品质量</w:t>
      </w:r>
    </w:p>
    <w:p>
      <w:pPr>
        <w:ind w:firstLine="480" w:firstLineChars="200"/>
        <w:rPr>
          <w:rFonts w:ascii="宋体" w:hAnsi="宋体" w:cs="宋体"/>
          <w:sz w:val="24"/>
        </w:rPr>
      </w:pPr>
      <w:r>
        <w:rPr>
          <w:rFonts w:hint="eastAsia" w:ascii="宋体" w:hAnsi="宋体" w:cs="宋体"/>
          <w:sz w:val="24"/>
          <w:szCs w:val="24"/>
        </w:rPr>
        <w:t>甲</w:t>
      </w:r>
      <w:r>
        <w:rPr>
          <w:rFonts w:hint="eastAsia" w:ascii="宋体" w:hAnsi="宋体"/>
          <w:bCs/>
          <w:sz w:val="24"/>
        </w:rPr>
        <w:t>方销售产品为建筑装修垃圾资源化处置后的再生骨料，甲乙双方签订合同后即视为对产品质量无异议，</w:t>
      </w:r>
      <w:r>
        <w:rPr>
          <w:rFonts w:hint="eastAsia" w:ascii="宋体" w:hAnsi="宋体" w:cs="宋体"/>
          <w:sz w:val="24"/>
          <w:szCs w:val="24"/>
        </w:rPr>
        <w:t>乙方不向甲方就货物质量问题主张任何权利，同时</w:t>
      </w:r>
      <w:r>
        <w:rPr>
          <w:rFonts w:hint="eastAsia" w:ascii="宋体" w:hAnsi="宋体"/>
          <w:bCs/>
          <w:sz w:val="24"/>
        </w:rPr>
        <w:t>甲方不对产品销售后的使用范围及用途承担任何责任。</w:t>
      </w:r>
    </w:p>
    <w:p>
      <w:pPr>
        <w:numPr>
          <w:ilvl w:val="0"/>
          <w:numId w:val="25"/>
        </w:numPr>
        <w:ind w:firstLine="482" w:firstLineChars="200"/>
        <w:rPr>
          <w:rFonts w:ascii="宋体" w:hAnsi="宋体"/>
          <w:b/>
          <w:sz w:val="24"/>
        </w:rPr>
      </w:pPr>
      <w:r>
        <w:rPr>
          <w:rFonts w:hint="eastAsia" w:ascii="宋体" w:hAnsi="宋体"/>
          <w:b/>
          <w:sz w:val="24"/>
          <w:szCs w:val="24"/>
        </w:rPr>
        <w:t xml:space="preserve"> 合同价款的结算及支付</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1、合同价款的结算：甲方与乙方每月10日前办理上月再生骨料的对账单，对账单以双方确认的过磅单为准，对账单办理完成后5个工作日内，甲方开具13%的增值税专用发票。</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2、合同价款的支付：</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2.1、合同签订后乙方车辆进场前，乙方须提前预存货款</w:t>
      </w:r>
      <w:r>
        <w:rPr>
          <w:rFonts w:hint="eastAsia" w:cs="Times New Roman"/>
          <w:bCs/>
          <w:sz w:val="24"/>
          <w:szCs w:val="24"/>
          <w:u w:val="single"/>
          <w:lang w:val="en-US" w:eastAsia="zh-CN" w:bidi="ar-SA"/>
        </w:rPr>
        <w:t>100000</w:t>
      </w:r>
      <w:r>
        <w:rPr>
          <w:rFonts w:hint="eastAsia" w:cs="Times New Roman"/>
          <w:bCs/>
          <w:sz w:val="24"/>
          <w:szCs w:val="24"/>
          <w:lang w:val="en-US" w:eastAsia="zh-CN" w:bidi="ar-SA"/>
        </w:rPr>
        <w:t>元。</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hint="eastAsia" w:cs="Times New Roman"/>
          <w:bCs/>
          <w:sz w:val="24"/>
          <w:szCs w:val="24"/>
          <w:u w:val="single"/>
          <w:lang w:val="en-US" w:eastAsia="zh-CN" w:bidi="ar-SA"/>
        </w:rPr>
        <w:t xml:space="preserve"> 3 </w:t>
      </w:r>
      <w:r>
        <w:rPr>
          <w:rFonts w:hint="eastAsia" w:cs="Times New Roman"/>
          <w:bCs/>
          <w:sz w:val="24"/>
          <w:szCs w:val="24"/>
          <w:lang w:val="en-US" w:eastAsia="zh-CN" w:bidi="ar-SA"/>
        </w:rPr>
        <w:t>个工作日内续存货款，每次不低于</w:t>
      </w:r>
      <w:r>
        <w:rPr>
          <w:rFonts w:hint="eastAsia" w:cs="Times New Roman"/>
          <w:bCs/>
          <w:sz w:val="24"/>
          <w:szCs w:val="24"/>
          <w:u w:val="single"/>
          <w:lang w:val="en-US" w:eastAsia="zh-CN" w:bidi="ar-SA"/>
        </w:rPr>
        <w:t>100000</w:t>
      </w:r>
      <w:r>
        <w:rPr>
          <w:rFonts w:hint="eastAsia" w:cs="Times New Roman"/>
          <w:bCs/>
          <w:sz w:val="24"/>
          <w:szCs w:val="24"/>
          <w:lang w:val="en-US" w:eastAsia="zh-CN" w:bidi="ar-SA"/>
        </w:rPr>
        <w:t>元，否则甲方有权拒绝乙方提货并算乙方违约。（催款日期以甲方发出催款通知之日起计算）</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3、最终结算及支付：本合同到期后，甲乙双方办理最终结算，乙方付清余款后，甲方开具与结算单金额相等的增值税专用发票。</w:t>
      </w:r>
    </w:p>
    <w:p>
      <w:pPr>
        <w:pStyle w:val="523"/>
        <w:spacing w:line="240" w:lineRule="auto"/>
        <w:ind w:firstLine="480" w:firstLineChars="200"/>
        <w:jc w:val="left"/>
        <w:rPr>
          <w:color w:val="000000"/>
          <w:kern w:val="0"/>
          <w:sz w:val="24"/>
          <w:szCs w:val="24"/>
          <w:u w:val="none" w:color="000000"/>
        </w:rPr>
      </w:pPr>
      <w:r>
        <w:rPr>
          <w:rFonts w:hint="eastAsia" w:cs="Times New Roman"/>
          <w:bCs/>
          <w:sz w:val="24"/>
          <w:szCs w:val="24"/>
          <w:lang w:val="en-US" w:eastAsia="zh-CN" w:bidi="ar-SA"/>
        </w:rPr>
        <w:t>4、</w:t>
      </w:r>
      <w:r>
        <w:rPr>
          <w:rFonts w:hint="eastAsia"/>
          <w:color w:val="000000"/>
          <w:kern w:val="0"/>
          <w:sz w:val="24"/>
          <w:szCs w:val="24"/>
          <w:u w:val="none"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val="none" w:color="000000"/>
        </w:rPr>
        <w:t>。</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5、支付方式：</w:t>
      </w:r>
      <w:r>
        <w:rPr>
          <w:rFonts w:hint="eastAsia" w:cs="Times New Roman"/>
          <w:bCs/>
          <w:sz w:val="24"/>
          <w:szCs w:val="24"/>
          <w:u w:val="single"/>
          <w:lang w:val="en-US" w:eastAsia="zh-CN" w:bidi="ar-SA"/>
        </w:rPr>
        <w:t>银行转账</w:t>
      </w:r>
    </w:p>
    <w:p>
      <w:pPr>
        <w:ind w:firstLine="480"/>
        <w:rPr>
          <w:rFonts w:ascii="宋体" w:hAnsi="宋体"/>
          <w:bCs/>
          <w:sz w:val="24"/>
        </w:rPr>
      </w:pPr>
      <w:r>
        <w:rPr>
          <w:rFonts w:hint="eastAsia" w:ascii="宋体" w:hAnsi="宋体"/>
          <w:bCs/>
          <w:sz w:val="24"/>
          <w:szCs w:val="24"/>
        </w:rPr>
        <w:t>6、甲方账户信息：</w:t>
      </w:r>
    </w:p>
    <w:p>
      <w:pPr>
        <w:ind w:firstLine="480"/>
        <w:rPr>
          <w:rFonts w:ascii="宋体" w:hAnsi="宋体"/>
          <w:bCs/>
          <w:sz w:val="24"/>
          <w:u w:val="single"/>
        </w:rPr>
      </w:pPr>
      <w:r>
        <w:rPr>
          <w:rFonts w:hint="eastAsia" w:ascii="宋体" w:hAnsi="宋体"/>
          <w:bCs/>
          <w:sz w:val="24"/>
          <w:szCs w:val="24"/>
        </w:rPr>
        <w:t>公司名称：</w:t>
      </w:r>
      <w:r>
        <w:rPr>
          <w:rFonts w:hint="eastAsia" w:ascii="宋体" w:hAnsi="宋体"/>
          <w:bCs/>
          <w:sz w:val="24"/>
          <w:szCs w:val="24"/>
          <w:u w:val="single"/>
        </w:rPr>
        <w:t>宜兴市公用建环资源循环利用有限公司</w:t>
      </w:r>
    </w:p>
    <w:p>
      <w:pPr>
        <w:pStyle w:val="523"/>
        <w:spacing w:line="240" w:lineRule="auto"/>
        <w:ind w:firstLine="480" w:firstLineChars="200"/>
        <w:jc w:val="left"/>
        <w:rPr>
          <w:rFonts w:cs="Times New Roman"/>
          <w:bCs/>
          <w:sz w:val="24"/>
          <w:szCs w:val="24"/>
          <w:u w:val="single"/>
          <w:lang w:val="en-US" w:eastAsia="zh-CN" w:bidi="ar-SA"/>
        </w:rPr>
      </w:pPr>
      <w:r>
        <w:rPr>
          <w:rFonts w:hint="eastAsia" w:cs="Times New Roman"/>
          <w:bCs/>
          <w:sz w:val="24"/>
          <w:szCs w:val="24"/>
          <w:lang w:val="en-US" w:eastAsia="zh-CN" w:bidi="ar-SA"/>
        </w:rPr>
        <w:t>税号：</w:t>
      </w:r>
      <w:r>
        <w:rPr>
          <w:rFonts w:hint="eastAsia" w:cs="Times New Roman"/>
          <w:bCs/>
          <w:sz w:val="24"/>
          <w:szCs w:val="24"/>
          <w:u w:val="single"/>
          <w:lang w:val="en-US" w:eastAsia="zh-CN" w:bidi="ar-SA"/>
        </w:rPr>
        <w:t>9132028276650312X8</w:t>
      </w:r>
    </w:p>
    <w:p>
      <w:pPr>
        <w:pStyle w:val="523"/>
        <w:spacing w:line="240" w:lineRule="auto"/>
        <w:ind w:firstLine="480" w:firstLineChars="200"/>
        <w:jc w:val="left"/>
        <w:rPr>
          <w:rFonts w:cs="Times New Roman"/>
          <w:bCs/>
          <w:sz w:val="24"/>
          <w:szCs w:val="24"/>
          <w:u w:val="single"/>
          <w:lang w:val="en-US" w:eastAsia="zh-CN" w:bidi="ar-SA"/>
        </w:rPr>
      </w:pPr>
      <w:r>
        <w:rPr>
          <w:rFonts w:hint="eastAsia" w:cs="Times New Roman"/>
          <w:bCs/>
          <w:sz w:val="24"/>
          <w:szCs w:val="24"/>
          <w:lang w:val="en-US" w:eastAsia="zh-CN" w:bidi="ar-SA"/>
        </w:rPr>
        <w:t>地址：</w:t>
      </w:r>
      <w:r>
        <w:rPr>
          <w:rFonts w:hint="eastAsia" w:cs="Times New Roman"/>
          <w:bCs/>
          <w:sz w:val="24"/>
          <w:szCs w:val="24"/>
          <w:u w:val="single"/>
          <w:lang w:val="en-US" w:eastAsia="zh-CN" w:bidi="ar-SA"/>
        </w:rPr>
        <w:t>宜兴市新街街道静脉产业园</w:t>
      </w:r>
    </w:p>
    <w:p>
      <w:pPr>
        <w:ind w:firstLine="480"/>
        <w:rPr>
          <w:rFonts w:ascii="宋体" w:hAnsi="宋体"/>
          <w:bCs/>
          <w:sz w:val="24"/>
          <w:u w:val="single"/>
        </w:rPr>
      </w:pPr>
      <w:r>
        <w:rPr>
          <w:rFonts w:hint="eastAsia" w:ascii="宋体" w:hAnsi="宋体"/>
          <w:bCs/>
          <w:sz w:val="24"/>
          <w:szCs w:val="24"/>
        </w:rPr>
        <w:t>开户行：</w:t>
      </w:r>
      <w:r>
        <w:rPr>
          <w:rFonts w:hint="eastAsia" w:ascii="宋体" w:hAnsi="宋体"/>
          <w:bCs/>
          <w:sz w:val="24"/>
          <w:szCs w:val="24"/>
          <w:u w:val="single"/>
        </w:rPr>
        <w:t>宜兴农村商业银行宜城支行</w:t>
      </w:r>
    </w:p>
    <w:p>
      <w:pPr>
        <w:ind w:firstLine="480"/>
        <w:rPr>
          <w:rFonts w:ascii="宋体" w:hAnsi="宋体"/>
          <w:bCs/>
          <w:sz w:val="24"/>
          <w:u w:val="single"/>
        </w:rPr>
      </w:pPr>
      <w:r>
        <w:rPr>
          <w:rFonts w:hint="eastAsia" w:ascii="宋体" w:hAnsi="宋体"/>
          <w:bCs/>
          <w:sz w:val="24"/>
          <w:szCs w:val="24"/>
        </w:rPr>
        <w:t>账号：</w:t>
      </w:r>
      <w:r>
        <w:rPr>
          <w:rFonts w:hint="eastAsia" w:ascii="宋体" w:hAnsi="宋体"/>
          <w:bCs/>
          <w:sz w:val="24"/>
          <w:szCs w:val="24"/>
          <w:u w:val="single"/>
        </w:rPr>
        <w:t>3202230401201000012720</w:t>
      </w:r>
    </w:p>
    <w:p>
      <w:pPr>
        <w:ind w:firstLine="480"/>
        <w:rPr>
          <w:rFonts w:ascii="宋体" w:hAnsi="宋体"/>
          <w:bCs/>
          <w:sz w:val="24"/>
          <w:u w:val="single"/>
        </w:rPr>
      </w:pPr>
      <w:r>
        <w:rPr>
          <w:rFonts w:hint="eastAsia" w:ascii="宋体" w:hAnsi="宋体"/>
          <w:bCs/>
          <w:sz w:val="24"/>
          <w:szCs w:val="24"/>
        </w:rPr>
        <w:t>电话：</w:t>
      </w:r>
      <w:r>
        <w:rPr>
          <w:rFonts w:hint="eastAsia" w:ascii="宋体" w:hAnsi="宋体"/>
          <w:bCs/>
          <w:sz w:val="24"/>
          <w:szCs w:val="24"/>
          <w:u w:val="single"/>
        </w:rPr>
        <w:t>0510-87956866</w:t>
      </w:r>
    </w:p>
    <w:p>
      <w:pPr>
        <w:ind w:firstLine="480" w:firstLineChars="200"/>
        <w:rPr>
          <w:rFonts w:ascii="宋体" w:hAnsi="宋体"/>
          <w:bCs/>
          <w:sz w:val="24"/>
        </w:rPr>
      </w:pPr>
      <w:r>
        <w:rPr>
          <w:rFonts w:hint="eastAsia" w:ascii="宋体" w:hAnsi="宋体"/>
          <w:bCs/>
          <w:sz w:val="24"/>
          <w:szCs w:val="24"/>
        </w:rPr>
        <w:t>7、乙方开票信息：</w:t>
      </w:r>
    </w:p>
    <w:p>
      <w:pPr>
        <w:ind w:firstLine="480"/>
        <w:rPr>
          <w:rFonts w:ascii="宋体" w:hAnsi="宋体"/>
          <w:bCs/>
          <w:sz w:val="24"/>
          <w:u w:val="single"/>
        </w:rPr>
      </w:pPr>
      <w:r>
        <w:rPr>
          <w:rFonts w:hint="eastAsia" w:ascii="宋体" w:hAnsi="宋体"/>
          <w:bCs/>
          <w:sz w:val="24"/>
          <w:szCs w:val="24"/>
        </w:rPr>
        <w:t>公司名称：</w:t>
      </w:r>
      <w:r>
        <w:rPr>
          <w:rFonts w:hint="eastAsia" w:ascii="宋体" w:hAnsi="宋体"/>
          <w:bCs/>
          <w:color w:val="FFFFFF"/>
          <w:sz w:val="24"/>
          <w:szCs w:val="24"/>
          <w:u w:val="single"/>
        </w:rPr>
        <w:t>。</w:t>
      </w:r>
    </w:p>
    <w:p>
      <w:pPr>
        <w:pStyle w:val="523"/>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税号：</w:t>
      </w:r>
      <w:r>
        <w:rPr>
          <w:rFonts w:hint="eastAsia" w:cs="Times New Roman"/>
          <w:bCs/>
          <w:color w:val="FFFFFF"/>
          <w:sz w:val="24"/>
          <w:szCs w:val="24"/>
          <w:u w:val="single"/>
          <w:lang w:val="en-US" w:eastAsia="zh-CN" w:bidi="ar-SA"/>
        </w:rPr>
        <w:t>。</w:t>
      </w:r>
    </w:p>
    <w:p>
      <w:pPr>
        <w:pStyle w:val="523"/>
        <w:spacing w:line="240" w:lineRule="auto"/>
        <w:ind w:firstLine="480" w:firstLineChars="200"/>
        <w:jc w:val="left"/>
        <w:rPr>
          <w:rFonts w:cs="Times New Roman"/>
          <w:bCs/>
          <w:sz w:val="24"/>
          <w:szCs w:val="24"/>
          <w:u w:val="single"/>
          <w:lang w:val="en-US" w:eastAsia="zh-CN" w:bidi="ar-SA"/>
        </w:rPr>
      </w:pPr>
      <w:r>
        <w:rPr>
          <w:rFonts w:hint="eastAsia" w:cs="Times New Roman"/>
          <w:bCs/>
          <w:sz w:val="24"/>
          <w:szCs w:val="24"/>
          <w:lang w:val="en-US" w:eastAsia="zh-CN" w:bidi="ar-SA"/>
        </w:rPr>
        <w:t>地址：</w:t>
      </w:r>
      <w:r>
        <w:rPr>
          <w:rFonts w:hint="eastAsia" w:cs="Times New Roman"/>
          <w:bCs/>
          <w:color w:val="FFFFFF"/>
          <w:sz w:val="24"/>
          <w:szCs w:val="24"/>
          <w:u w:val="single"/>
          <w:lang w:val="en-US" w:eastAsia="zh-CN" w:bidi="ar-SA"/>
        </w:rPr>
        <w:t>。</w:t>
      </w:r>
    </w:p>
    <w:p>
      <w:pPr>
        <w:ind w:firstLine="480"/>
        <w:rPr>
          <w:rFonts w:ascii="宋体" w:hAnsi="宋体"/>
          <w:bCs/>
          <w:sz w:val="24"/>
        </w:rPr>
      </w:pPr>
      <w:r>
        <w:rPr>
          <w:rFonts w:hint="eastAsia" w:ascii="宋体" w:hAnsi="宋体"/>
          <w:bCs/>
          <w:sz w:val="24"/>
          <w:szCs w:val="24"/>
        </w:rPr>
        <w:t>开户行：</w:t>
      </w:r>
      <w:r>
        <w:rPr>
          <w:rFonts w:hint="eastAsia" w:ascii="宋体" w:hAnsi="宋体"/>
          <w:bCs/>
          <w:color w:val="FFFFFF"/>
          <w:sz w:val="24"/>
          <w:szCs w:val="24"/>
          <w:u w:val="single"/>
        </w:rPr>
        <w:t>。</w:t>
      </w:r>
    </w:p>
    <w:p>
      <w:pPr>
        <w:ind w:firstLine="480"/>
        <w:rPr>
          <w:rFonts w:ascii="宋体" w:hAnsi="宋体"/>
          <w:bCs/>
          <w:sz w:val="24"/>
          <w:u w:val="single"/>
        </w:rPr>
      </w:pPr>
      <w:r>
        <w:rPr>
          <w:rFonts w:hint="eastAsia" w:ascii="宋体" w:hAnsi="宋体"/>
          <w:bCs/>
          <w:sz w:val="24"/>
          <w:szCs w:val="24"/>
        </w:rPr>
        <w:t>账号：</w:t>
      </w:r>
      <w:r>
        <w:rPr>
          <w:rFonts w:hint="eastAsia" w:ascii="宋体" w:hAnsi="宋体"/>
          <w:bCs/>
          <w:color w:val="FFFFFF"/>
          <w:sz w:val="24"/>
          <w:szCs w:val="24"/>
          <w:u w:val="single"/>
        </w:rPr>
        <w:t>。</w:t>
      </w:r>
    </w:p>
    <w:p>
      <w:pPr>
        <w:ind w:firstLine="480"/>
        <w:rPr>
          <w:rFonts w:ascii="宋体" w:hAnsi="宋体"/>
          <w:bCs/>
          <w:sz w:val="24"/>
        </w:rPr>
      </w:pPr>
      <w:r>
        <w:rPr>
          <w:rFonts w:hint="eastAsia" w:ascii="宋体" w:hAnsi="宋体"/>
          <w:bCs/>
          <w:sz w:val="24"/>
          <w:szCs w:val="24"/>
        </w:rPr>
        <w:t>电话：</w:t>
      </w:r>
      <w:r>
        <w:rPr>
          <w:rFonts w:hint="eastAsia" w:ascii="宋体" w:hAnsi="宋体"/>
          <w:bCs/>
          <w:color w:val="FFFFFF"/>
          <w:sz w:val="24"/>
          <w:szCs w:val="24"/>
          <w:u w:val="single"/>
        </w:rPr>
        <w:t>。</w:t>
      </w:r>
    </w:p>
    <w:p>
      <w:pPr>
        <w:ind w:firstLine="480"/>
        <w:rPr>
          <w:rFonts w:ascii="宋体" w:hAnsi="宋体"/>
          <w:b/>
          <w:sz w:val="24"/>
        </w:rPr>
      </w:pPr>
      <w:r>
        <w:rPr>
          <w:rFonts w:hint="eastAsia" w:ascii="宋体" w:hAnsi="宋体"/>
          <w:b/>
          <w:sz w:val="24"/>
          <w:szCs w:val="24"/>
        </w:rPr>
        <w:t>乙方在本合同中所提供的信息真实、准确、有效并加盖公章；因乙方提供信息有误所造成的损失及责任，由乙方承担。</w:t>
      </w:r>
    </w:p>
    <w:p>
      <w:pPr>
        <w:ind w:firstLine="480"/>
        <w:rPr>
          <w:rFonts w:ascii="宋体" w:hAnsi="宋体"/>
          <w:b/>
          <w:sz w:val="24"/>
        </w:rPr>
      </w:pPr>
      <w:r>
        <w:rPr>
          <w:rFonts w:hint="eastAsia" w:ascii="宋体" w:hAnsi="宋体"/>
          <w:b/>
          <w:sz w:val="24"/>
          <w:szCs w:val="24"/>
        </w:rPr>
        <w:t>第七条  甲方的权利及义务</w:t>
      </w:r>
    </w:p>
    <w:p>
      <w:pPr>
        <w:ind w:firstLine="480" w:firstLineChars="200"/>
        <w:rPr>
          <w:rFonts w:ascii="宋体" w:hAnsi="宋体"/>
          <w:bCs/>
          <w:sz w:val="24"/>
        </w:rPr>
      </w:pPr>
      <w:r>
        <w:rPr>
          <w:rFonts w:hint="eastAsia" w:ascii="宋体" w:hAnsi="宋体"/>
          <w:bCs/>
          <w:sz w:val="24"/>
          <w:szCs w:val="24"/>
        </w:rPr>
        <w:t>1、合同执行期内，</w:t>
      </w:r>
      <w:r>
        <w:rPr>
          <w:rFonts w:hint="eastAsia" w:ascii="宋体" w:hAnsi="宋体" w:cs="宋体"/>
          <w:sz w:val="24"/>
          <w:szCs w:val="24"/>
        </w:rPr>
        <w:t>若由于甲方原因导致产出骨料数量不足而终止合同的，不作为违约处理。</w:t>
      </w:r>
    </w:p>
    <w:p>
      <w:pPr>
        <w:ind w:firstLine="480" w:firstLineChars="200"/>
        <w:rPr>
          <w:rFonts w:ascii="宋体" w:hAnsi="宋体"/>
          <w:bCs/>
          <w:sz w:val="24"/>
        </w:rPr>
      </w:pPr>
      <w:r>
        <w:rPr>
          <w:rFonts w:hint="eastAsia" w:ascii="宋体" w:hAnsi="宋体"/>
          <w:bCs/>
          <w:sz w:val="24"/>
          <w:szCs w:val="24"/>
        </w:rPr>
        <w:t>2、甲方有产品销售时，甲方应提前一天通知乙方销售的数量、类别等，甲方负责装车。</w:t>
      </w:r>
    </w:p>
    <w:p>
      <w:pPr>
        <w:ind w:firstLine="480" w:firstLineChars="200"/>
        <w:rPr>
          <w:rFonts w:ascii="宋体" w:hAnsi="宋体"/>
          <w:bCs/>
          <w:sz w:val="24"/>
        </w:rPr>
      </w:pPr>
      <w:r>
        <w:rPr>
          <w:rFonts w:hint="eastAsia" w:ascii="宋体" w:hAnsi="宋体"/>
          <w:bCs/>
          <w:sz w:val="24"/>
          <w:szCs w:val="24"/>
        </w:rPr>
        <w:t>3、对</w:t>
      </w:r>
      <w:r>
        <w:rPr>
          <w:rFonts w:hint="eastAsia" w:ascii="宋体" w:hAnsi="宋体"/>
          <w:bCs/>
          <w:sz w:val="24"/>
        </w:rPr>
        <w:t>非经备案的乙方车辆，甲方有权拒绝其进入厂区。</w:t>
      </w:r>
    </w:p>
    <w:p>
      <w:pPr>
        <w:ind w:left="420" w:leftChars="200"/>
        <w:rPr>
          <w:rFonts w:ascii="宋体" w:hAnsi="宋体"/>
          <w:b/>
          <w:sz w:val="24"/>
        </w:rPr>
      </w:pPr>
      <w:r>
        <w:rPr>
          <w:rFonts w:hint="eastAsia" w:ascii="宋体" w:hAnsi="宋体"/>
          <w:b/>
          <w:sz w:val="24"/>
          <w:szCs w:val="24"/>
        </w:rPr>
        <w:t>第八条  乙方的权利及义务</w:t>
      </w:r>
    </w:p>
    <w:p>
      <w:pPr>
        <w:ind w:firstLine="480" w:firstLineChars="200"/>
        <w:rPr>
          <w:rFonts w:ascii="宋体" w:hAnsi="宋体"/>
          <w:bCs/>
          <w:sz w:val="24"/>
        </w:rPr>
      </w:pPr>
      <w:r>
        <w:rPr>
          <w:rFonts w:hint="eastAsia" w:ascii="宋体" w:hAnsi="宋体"/>
          <w:bCs/>
          <w:sz w:val="24"/>
          <w:szCs w:val="24"/>
        </w:rPr>
        <w:t>1、乙方接到甲方销售产品通知后，调配车辆至甲方厂区运输产品。</w:t>
      </w:r>
    </w:p>
    <w:p>
      <w:pPr>
        <w:ind w:firstLine="480" w:firstLineChars="200"/>
        <w:rPr>
          <w:rFonts w:ascii="宋体" w:hAnsi="宋体"/>
          <w:bCs/>
          <w:sz w:val="24"/>
        </w:rPr>
      </w:pPr>
      <w:r>
        <w:rPr>
          <w:rFonts w:hint="eastAsia" w:ascii="宋体" w:hAnsi="宋体"/>
          <w:bCs/>
          <w:sz w:val="24"/>
          <w:szCs w:val="24"/>
        </w:rPr>
        <w:t>2、乙方须按时清运完甲方通知的产品数量。</w:t>
      </w:r>
    </w:p>
    <w:p>
      <w:pPr>
        <w:ind w:firstLine="480" w:firstLineChars="200"/>
        <w:rPr>
          <w:rFonts w:ascii="宋体" w:hAnsi="宋体"/>
          <w:bCs/>
          <w:sz w:val="24"/>
        </w:rPr>
      </w:pPr>
      <w:r>
        <w:rPr>
          <w:rFonts w:hint="eastAsia" w:ascii="宋体" w:hAnsi="宋体"/>
          <w:bCs/>
          <w:sz w:val="24"/>
          <w:szCs w:val="24"/>
        </w:rPr>
        <w:t>3、乙方</w:t>
      </w:r>
      <w:r>
        <w:rPr>
          <w:rFonts w:hint="eastAsia" w:ascii="宋体" w:hAnsi="宋体"/>
          <w:bCs/>
          <w:sz w:val="24"/>
        </w:rPr>
        <w:t>运输车辆进入甲方厂区后须无条件服从甲方调度，否则甲方有权拒绝乙方车辆提货。</w:t>
      </w:r>
    </w:p>
    <w:p>
      <w:pPr>
        <w:pStyle w:val="524"/>
        <w:tabs>
          <w:tab w:val="left" w:pos="978"/>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4、乙方须根据合同约定，及时支付费用，逾期支付费用的，甲方有权拒绝乙方车辆进场，同时有权单方面解除合同并算乙方违约。</w:t>
      </w:r>
    </w:p>
    <w:p>
      <w:pPr>
        <w:pStyle w:val="524"/>
        <w:tabs>
          <w:tab w:val="left" w:pos="978"/>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5、乙方运输产品的车辆按政府主管部门要求办理线路申请或提前报备的，由乙方自行办理,费用由乙方自行承担。</w:t>
      </w:r>
    </w:p>
    <w:p>
      <w:pPr>
        <w:pStyle w:val="524"/>
        <w:tabs>
          <w:tab w:val="left" w:pos="978"/>
        </w:tabs>
        <w:spacing w:line="240" w:lineRule="auto"/>
        <w:ind w:firstLine="482" w:firstLineChars="200"/>
        <w:jc w:val="left"/>
        <w:rPr>
          <w:rFonts w:cs="Times New Roman"/>
          <w:b/>
          <w:sz w:val="24"/>
          <w:szCs w:val="24"/>
          <w:lang w:val="en-US" w:eastAsia="zh-CN" w:bidi="ar-SA"/>
        </w:rPr>
      </w:pPr>
      <w:r>
        <w:rPr>
          <w:rFonts w:hint="eastAsia" w:cs="Times New Roman"/>
          <w:b/>
          <w:sz w:val="24"/>
          <w:szCs w:val="24"/>
          <w:lang w:val="en-US" w:eastAsia="zh-CN" w:bidi="ar-SA"/>
        </w:rPr>
        <w:t>第八条  违约责任</w:t>
      </w:r>
    </w:p>
    <w:p>
      <w:pPr>
        <w:pStyle w:val="524"/>
        <w:tabs>
          <w:tab w:val="left" w:pos="556"/>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1、乙方须按时清运完甲方通知的产品数量，如未及时清运导致料仓堆积影响甲方生产，甲方有权单方面解除合同并扣除乙方履约保证金5万，同时乙方需赔偿因此给甲方造成的全部损失。</w:t>
      </w:r>
    </w:p>
    <w:p>
      <w:pPr>
        <w:pStyle w:val="524"/>
        <w:tabs>
          <w:tab w:val="left" w:pos="978"/>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hint="eastAsia" w:cs="Times New Roman"/>
          <w:bCs/>
          <w:sz w:val="24"/>
          <w:szCs w:val="24"/>
          <w:u w:val="single"/>
          <w:lang w:val="en-US" w:eastAsia="zh-CN" w:bidi="ar-SA"/>
        </w:rPr>
        <w:t>3</w:t>
      </w:r>
      <w:r>
        <w:rPr>
          <w:rFonts w:hint="eastAsia" w:cs="Times New Roman"/>
          <w:bCs/>
          <w:sz w:val="24"/>
          <w:szCs w:val="24"/>
          <w:lang w:val="en-US" w:eastAsia="zh-CN" w:bidi="ar-SA"/>
        </w:rPr>
        <w:t>个工作日内续存货款不低于</w:t>
      </w:r>
      <w:r>
        <w:rPr>
          <w:rFonts w:hint="eastAsia" w:cs="Times New Roman"/>
          <w:bCs/>
          <w:sz w:val="24"/>
          <w:szCs w:val="24"/>
          <w:u w:val="single"/>
          <w:lang w:val="en-US" w:eastAsia="zh-CN" w:bidi="ar-SA"/>
        </w:rPr>
        <w:t>100000</w:t>
      </w:r>
      <w:r>
        <w:rPr>
          <w:rFonts w:hint="eastAsia" w:cs="Times New Roman"/>
          <w:bCs/>
          <w:sz w:val="24"/>
          <w:szCs w:val="24"/>
          <w:lang w:val="en-US" w:eastAsia="zh-CN" w:bidi="ar-SA"/>
        </w:rPr>
        <w:t>元。逾期支付费用的，甲方有权单方面解除合同并扣除乙方履约保证金5万，若履约保证金不足以赔偿甲方损失的，以实际损失为准赔偿。（催款日期以甲方发出催款通知之日起计算）</w:t>
      </w:r>
    </w:p>
    <w:p>
      <w:pPr>
        <w:pStyle w:val="524"/>
        <w:tabs>
          <w:tab w:val="left" w:pos="556"/>
        </w:tabs>
        <w:spacing w:line="240" w:lineRule="auto"/>
        <w:ind w:firstLine="480" w:firstLineChars="200"/>
        <w:jc w:val="left"/>
        <w:rPr>
          <w:rFonts w:hint="eastAsia" w:cs="Times New Roman"/>
          <w:bCs/>
          <w:sz w:val="24"/>
          <w:szCs w:val="24"/>
          <w:lang w:val="en-US" w:eastAsia="zh-CN" w:bidi="ar-SA"/>
        </w:rPr>
      </w:pPr>
      <w:r>
        <w:rPr>
          <w:rFonts w:hint="eastAsia" w:cs="Times New Roman"/>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给予乙方1000元/次的处罚，情节严重的，甲方有权单方面解除合同并扣除乙方履约保证金5万，同时乙方需赔偿因此给甲方造成的全部损失。</w:t>
      </w:r>
    </w:p>
    <w:p>
      <w:pPr>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pPr>
        <w:ind w:firstLine="480" w:firstLineChars="200"/>
        <w:rPr>
          <w:rFonts w:hint="eastAsia"/>
          <w:bCs/>
          <w:sz w:val="24"/>
          <w:szCs w:val="24"/>
        </w:rPr>
      </w:pPr>
      <w:r>
        <w:rPr>
          <w:rFonts w:hint="eastAsia" w:ascii="宋体" w:hAnsi="宋体" w:cs="宋体"/>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pStyle w:val="524"/>
        <w:tabs>
          <w:tab w:val="left" w:pos="556"/>
        </w:tabs>
        <w:spacing w:line="240" w:lineRule="auto"/>
        <w:ind w:firstLine="482" w:firstLineChars="200"/>
        <w:jc w:val="left"/>
        <w:rPr>
          <w:rFonts w:cs="Times New Roman"/>
          <w:b/>
          <w:sz w:val="24"/>
          <w:szCs w:val="24"/>
          <w:lang w:val="en-US" w:eastAsia="zh-CN" w:bidi="ar-SA"/>
        </w:rPr>
      </w:pPr>
      <w:r>
        <w:rPr>
          <w:rFonts w:hint="eastAsia" w:cs="Times New Roman"/>
          <w:b/>
          <w:sz w:val="24"/>
          <w:szCs w:val="24"/>
          <w:lang w:val="en-US" w:eastAsia="zh-CN" w:bidi="ar-SA"/>
        </w:rPr>
        <w:t>第九条  补充条款</w:t>
      </w:r>
    </w:p>
    <w:p>
      <w:pPr>
        <w:pStyle w:val="524"/>
        <w:tabs>
          <w:tab w:val="left" w:pos="556"/>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pPr>
        <w:pStyle w:val="524"/>
        <w:tabs>
          <w:tab w:val="left" w:pos="556"/>
        </w:tabs>
        <w:spacing w:line="240" w:lineRule="auto"/>
        <w:ind w:firstLine="480" w:firstLineChars="200"/>
        <w:jc w:val="left"/>
        <w:rPr>
          <w:rFonts w:cs="Times New Roman"/>
          <w:bCs/>
          <w:sz w:val="24"/>
          <w:szCs w:val="24"/>
          <w:lang w:val="en-US" w:eastAsia="zh-CN" w:bidi="ar-SA"/>
        </w:rPr>
      </w:pPr>
      <w:r>
        <w:rPr>
          <w:rFonts w:hint="eastAsia" w:cs="Times New Roman"/>
          <w:bCs/>
          <w:sz w:val="24"/>
          <w:szCs w:val="24"/>
          <w:lang w:val="en-US" w:eastAsia="zh-CN" w:bidi="ar-SA"/>
        </w:rPr>
        <w:t>2、乙方因车辆或驾驶员原因导致交通事故或其他事故，给甲方或任何第三人造成人员伤亡或财产损失的，乙方需承担全部责任。</w:t>
      </w:r>
    </w:p>
    <w:p>
      <w:pPr>
        <w:pStyle w:val="524"/>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3、乙方负责运输产品的车辆在甲方厂区内应遵守甲方厂</w:t>
      </w:r>
      <w:r>
        <w:rPr>
          <w:rFonts w:hint="eastAsia" w:cs="Times New Roman"/>
          <w:bCs/>
          <w:sz w:val="24"/>
          <w:szCs w:val="24"/>
          <w:lang w:val="zh-CN" w:eastAsia="zh-CN" w:bidi="ar-SA"/>
        </w:rPr>
        <w:t>区管</w:t>
      </w:r>
      <w:r>
        <w:rPr>
          <w:rFonts w:hint="eastAsia" w:cs="Times New Roman"/>
          <w:bCs/>
          <w:sz w:val="24"/>
          <w:szCs w:val="24"/>
          <w:lang w:val="en-US" w:eastAsia="zh-CN" w:bidi="ar-SA"/>
        </w:rPr>
        <w:t>理制度，因乙方人员及车辆造成的损失及责任由乙方承担。</w:t>
      </w:r>
    </w:p>
    <w:p>
      <w:pPr>
        <w:pStyle w:val="524"/>
        <w:tabs>
          <w:tab w:val="left" w:pos="581"/>
        </w:tabs>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4、乙方运输车辆进场前需向甲方备案，包括车牌号、行驶证复印件、驾驶人驾驶证复印件。</w:t>
      </w:r>
    </w:p>
    <w:p>
      <w:pPr>
        <w:pStyle w:val="524"/>
        <w:tabs>
          <w:tab w:val="left" w:pos="581"/>
        </w:tabs>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5、乙方人员、车辆离开甲方厂区后发生的一切问题由乙方自行负责，甲方不承担任何责任。</w:t>
      </w:r>
    </w:p>
    <w:p>
      <w:pPr>
        <w:ind w:firstLine="482" w:firstLineChars="200"/>
        <w:rPr>
          <w:rFonts w:ascii="宋体" w:hAnsi="宋体"/>
          <w:b/>
          <w:bCs/>
          <w:sz w:val="24"/>
        </w:rPr>
      </w:pPr>
      <w:r>
        <w:rPr>
          <w:rFonts w:hint="eastAsia" w:ascii="宋体" w:hAnsi="宋体"/>
          <w:b/>
          <w:bCs/>
          <w:sz w:val="24"/>
          <w:szCs w:val="24"/>
        </w:rPr>
        <w:t>第十条  争议的解决方式</w:t>
      </w:r>
    </w:p>
    <w:p>
      <w:pPr>
        <w:pStyle w:val="524"/>
        <w:tabs>
          <w:tab w:val="left" w:pos="581"/>
        </w:tabs>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1、本合同如发生纠纷，当事人双方应当及时协商解决，协商不成时，向</w:t>
      </w:r>
      <w:r>
        <w:rPr>
          <w:rFonts w:hint="eastAsia" w:cs="Times New Roman"/>
          <w:bCs/>
          <w:sz w:val="24"/>
          <w:szCs w:val="24"/>
          <w:u w:val="single"/>
          <w:lang w:val="en-US" w:eastAsia="zh-CN" w:bidi="ar-SA"/>
        </w:rPr>
        <w:t>合同签订地有管辖权的人民法院</w:t>
      </w:r>
      <w:r>
        <w:rPr>
          <w:rFonts w:hint="eastAsia" w:cs="Times New Roman"/>
          <w:bCs/>
          <w:sz w:val="24"/>
          <w:szCs w:val="24"/>
          <w:lang w:val="en-US" w:eastAsia="zh-CN" w:bidi="ar-SA"/>
        </w:rPr>
        <w:t>起诉。</w:t>
      </w:r>
    </w:p>
    <w:p>
      <w:pPr>
        <w:pStyle w:val="524"/>
        <w:tabs>
          <w:tab w:val="left" w:pos="581"/>
        </w:tabs>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2、本合同一式六份，甲方肆份，乙方贰份，均具有同等法律效力，自双方签字盖章后生效。</w:t>
      </w:r>
    </w:p>
    <w:p>
      <w:pPr>
        <w:pStyle w:val="524"/>
        <w:tabs>
          <w:tab w:val="left" w:pos="581"/>
        </w:tabs>
        <w:spacing w:line="240" w:lineRule="auto"/>
        <w:ind w:firstLine="480" w:firstLineChars="200"/>
        <w:rPr>
          <w:rFonts w:cs="Times New Roman"/>
          <w:bCs/>
          <w:sz w:val="24"/>
          <w:szCs w:val="24"/>
          <w:lang w:val="en-US" w:eastAsia="zh-CN" w:bidi="ar-SA"/>
        </w:rPr>
      </w:pPr>
      <w:r>
        <w:rPr>
          <w:rFonts w:hint="eastAsia" w:cs="Times New Roman"/>
          <w:bCs/>
          <w:sz w:val="24"/>
          <w:szCs w:val="24"/>
          <w:lang w:val="en-US" w:eastAsia="zh-CN" w:bidi="ar-SA"/>
        </w:rPr>
        <w:t>3、合同如有未尽事宜，须经双方共同协商解决。</w:t>
      </w: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r>
        <w:rPr>
          <w:rFonts w:hint="eastAsia" w:ascii="宋体" w:hAnsi="宋体" w:cs="宋体"/>
          <w:sz w:val="24"/>
          <w:szCs w:val="24"/>
        </w:rPr>
        <w:t>甲方（公章）：</w:t>
      </w:r>
      <w:r>
        <w:rPr>
          <w:rFonts w:hint="eastAsia" w:ascii="宋体" w:hAnsi="宋体" w:cs="宋体"/>
          <w:sz w:val="24"/>
          <w:szCs w:val="24"/>
        </w:rPr>
        <w:tab/>
      </w:r>
      <w:r>
        <w:rPr>
          <w:rFonts w:hint="eastAsia" w:ascii="宋体" w:hAnsi="宋体" w:cs="宋体"/>
          <w:sz w:val="24"/>
          <w:szCs w:val="24"/>
        </w:rPr>
        <w:t>乙方（公章）：</w:t>
      </w:r>
    </w:p>
    <w:p>
      <w:pPr>
        <w:pStyle w:val="131"/>
        <w:tabs>
          <w:tab w:val="left" w:pos="5000"/>
        </w:tabs>
        <w:ind w:left="420"/>
        <w:rPr>
          <w:rFonts w:ascii="宋体" w:hAnsi="宋体" w:cs="宋体"/>
          <w:sz w:val="24"/>
          <w:szCs w:val="24"/>
        </w:rPr>
      </w:pPr>
    </w:p>
    <w:p>
      <w:pPr>
        <w:pStyle w:val="131"/>
        <w:tabs>
          <w:tab w:val="left" w:pos="5000"/>
        </w:tabs>
        <w:ind w:left="420"/>
        <w:rPr>
          <w:rFonts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rPr>
        <w:tab/>
      </w:r>
      <w:r>
        <w:rPr>
          <w:rFonts w:hint="eastAsia" w:ascii="宋体" w:hAnsi="宋体" w:cs="宋体"/>
          <w:sz w:val="24"/>
          <w:szCs w:val="24"/>
        </w:rPr>
        <w:tab/>
      </w:r>
      <w:r>
        <w:rPr>
          <w:rFonts w:hint="eastAsia" w:ascii="宋体" w:hAnsi="宋体" w:cs="宋体"/>
          <w:sz w:val="24"/>
          <w:szCs w:val="24"/>
        </w:rPr>
        <w:t>法定代表人（签字）：</w:t>
      </w:r>
    </w:p>
    <w:p>
      <w:pPr>
        <w:ind w:firstLine="1440" w:firstLineChars="600"/>
        <w:outlineLvl w:val="0"/>
        <w:rPr>
          <w:rFonts w:ascii="宋体" w:hAnsi="宋体" w:cs="宋体"/>
          <w:sz w:val="24"/>
        </w:rPr>
      </w:pPr>
    </w:p>
    <w:p>
      <w:pPr>
        <w:ind w:firstLine="1440" w:firstLineChars="600"/>
        <w:outlineLvl w:val="0"/>
        <w:rPr>
          <w:rFonts w:ascii="宋体" w:hAnsi="宋体" w:cs="宋体"/>
          <w:sz w:val="24"/>
        </w:rPr>
      </w:pPr>
      <w:r>
        <w:rPr>
          <w:rFonts w:hint="eastAsia" w:ascii="宋体" w:hAnsi="宋体" w:cs="宋体"/>
          <w:sz w:val="24"/>
          <w:szCs w:val="24"/>
        </w:rPr>
        <w:t>年   月   日                           年   月   日</w:t>
      </w:r>
    </w:p>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
      <w:pPr>
        <w:spacing w:line="360" w:lineRule="auto"/>
        <w:jc w:val="center"/>
        <w:outlineLvl w:val="0"/>
        <w:rPr>
          <w:rFonts w:ascii="黑体" w:hAnsi="黑体" w:eastAsia="黑体"/>
          <w:sz w:val="28"/>
        </w:rPr>
      </w:pPr>
      <w:bookmarkStart w:id="77"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8" w:name="_Toc29240"/>
      <w:r>
        <w:rPr>
          <w:rFonts w:hint="eastAsia" w:ascii="宋体" w:hAnsi="宋体"/>
          <w:b/>
          <w:sz w:val="120"/>
          <w:szCs w:val="120"/>
        </w:rPr>
        <w:t>投标文件</w:t>
      </w:r>
      <w:bookmarkEnd w:id="78"/>
    </w:p>
    <w:p>
      <w:pPr>
        <w:jc w:val="center"/>
        <w:rPr>
          <w:rFonts w:ascii="宋体" w:hAnsi="宋体"/>
          <w:b/>
          <w:sz w:val="32"/>
          <w:szCs w:val="32"/>
        </w:rPr>
      </w:pPr>
      <w:bookmarkStart w:id="79" w:name="_Toc2400"/>
      <w:r>
        <w:rPr>
          <w:rFonts w:hint="eastAsia" w:ascii="宋体" w:hAnsi="宋体"/>
          <w:b/>
          <w:sz w:val="32"/>
          <w:szCs w:val="32"/>
        </w:rPr>
        <w:t>项目编号：</w:t>
      </w:r>
      <w:bookmarkEnd w:id="79"/>
      <w:r>
        <w:rPr>
          <w:rFonts w:ascii="宋体" w:hAnsi="宋体"/>
          <w:b/>
          <w:sz w:val="32"/>
          <w:szCs w:val="32"/>
        </w:rPr>
        <w:t xml:space="preserve">YXCYJT202109011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80" w:name="_Toc10010"/>
      <w:r>
        <w:rPr>
          <w:rFonts w:hint="eastAsia" w:ascii="宋体" w:hAnsi="宋体"/>
          <w:b/>
          <w:sz w:val="32"/>
          <w:szCs w:val="32"/>
        </w:rPr>
        <w:t>项目名称：</w:t>
      </w:r>
      <w:bookmarkEnd w:id="80"/>
      <w:bookmarkStart w:id="81" w:name="_Toc8670"/>
      <w:r>
        <w:rPr>
          <w:rFonts w:hint="eastAsia" w:ascii="宋体" w:hAnsi="宋体"/>
          <w:b/>
          <w:sz w:val="32"/>
          <w:szCs w:val="32"/>
          <w:u w:val="single"/>
        </w:rPr>
        <w:t>宜兴市公用建环资源循环利用有限公司骨料出售（2021年第二批）项目</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1"/>
    </w:p>
    <w:p>
      <w:pPr>
        <w:rPr>
          <w:rFonts w:ascii="宋体" w:hAnsi="宋体"/>
        </w:rPr>
      </w:pPr>
      <w:bookmarkStart w:id="82"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2"/>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3" w:name="_Toc1179"/>
      <w:r>
        <w:rPr>
          <w:rFonts w:hint="eastAsia" w:ascii="宋体" w:hAnsi="宋体"/>
          <w:b/>
          <w:sz w:val="32"/>
          <w:szCs w:val="32"/>
        </w:rPr>
        <w:t>日期： 年 月 日</w:t>
      </w:r>
      <w:bookmarkEnd w:id="83"/>
    </w:p>
    <w:p>
      <w:pPr>
        <w:rPr>
          <w:rFonts w:ascii="宋体"/>
          <w:b/>
          <w:bCs/>
          <w:sz w:val="24"/>
          <w:szCs w:val="24"/>
        </w:rPr>
      </w:pPr>
      <w:bookmarkStart w:id="84" w:name="_Toc24602"/>
      <w:r>
        <w:rPr>
          <w:rFonts w:hint="eastAsia" w:ascii="黑体" w:hAnsi="宋体" w:eastAsia="黑体"/>
          <w:bCs/>
          <w:sz w:val="24"/>
          <w:szCs w:val="24"/>
        </w:rPr>
        <w:br w:type="page"/>
      </w:r>
      <w:bookmarkStart w:id="85" w:name="OLE_LINK24"/>
      <w:r>
        <w:rPr>
          <w:rFonts w:hint="eastAsia" w:ascii="黑体" w:hAnsi="宋体" w:eastAsia="黑体"/>
          <w:bCs/>
          <w:sz w:val="28"/>
          <w:szCs w:val="28"/>
        </w:rPr>
        <w:t>（一）响应函（格式）：</w:t>
      </w:r>
    </w:p>
    <w:bookmarkEnd w:id="85"/>
    <w:p>
      <w:pPr>
        <w:spacing w:before="156" w:beforeLines="50" w:after="156" w:afterLines="50"/>
        <w:jc w:val="center"/>
        <w:rPr>
          <w:rFonts w:ascii="黑体" w:eastAsia="黑体"/>
          <w:bCs/>
          <w:sz w:val="28"/>
          <w:szCs w:val="28"/>
        </w:rPr>
      </w:pPr>
      <w:r>
        <w:rPr>
          <w:rFonts w:hint="eastAsia" w:ascii="黑体" w:eastAsia="黑体"/>
          <w:bCs/>
          <w:sz w:val="28"/>
          <w:szCs w:val="28"/>
        </w:rPr>
        <w:t>响应函</w:t>
      </w:r>
    </w:p>
    <w:p>
      <w:pPr>
        <w:spacing w:line="276" w:lineRule="auto"/>
        <w:ind w:left="1" w:leftChars="-228" w:hanging="480" w:hangingChars="200"/>
        <w:rPr>
          <w:rFonts w:ascii="宋体" w:hAnsi="宋体"/>
          <w:bCs/>
          <w:sz w:val="24"/>
          <w:lang w:val="zh-CN"/>
        </w:rPr>
      </w:pPr>
      <w:bookmarkStart w:id="86" w:name="OLE_LINK185"/>
      <w:r>
        <w:rPr>
          <w:rFonts w:hint="eastAsia" w:ascii="宋体" w:hAnsi="宋体"/>
          <w:bCs/>
          <w:sz w:val="24"/>
          <w:lang w:val="zh-CN"/>
        </w:rPr>
        <w:t xml:space="preserve">    致</w:t>
      </w:r>
      <w:bookmarkEnd w:id="86"/>
      <w:r>
        <w:rPr>
          <w:rFonts w:hint="eastAsia" w:ascii="宋体" w:hAnsi="宋体"/>
          <w:bCs/>
          <w:sz w:val="24"/>
          <w:u w:val="single"/>
          <w:lang w:val="zh-CN"/>
        </w:rPr>
        <w:t>宜兴市公用建环资源循环利用有限公司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宜兴市公用建环资源循环利用有限公司骨料出售（2021年第二批）项目</w:t>
      </w:r>
      <w:r>
        <w:rPr>
          <w:rFonts w:hint="eastAsia" w:ascii="宋体" w:hAnsi="宋体"/>
          <w:bCs/>
          <w:sz w:val="24"/>
          <w:lang w:val="zh-CN"/>
        </w:rPr>
        <w:t>投标文件，经仔细阅读和研究，我方决定参加投标。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87"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7"/>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8" w:name="OLE_LINK34"/>
      <w:bookmarkStart w:id="89"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0" w:name="OLE_LINK28"/>
      <w:r>
        <w:rPr>
          <w:rFonts w:hint="eastAsia" w:ascii="宋体" w:hAnsi="宋体"/>
          <w:bCs/>
          <w:sz w:val="24"/>
          <w:lang w:val="zh-CN"/>
        </w:rPr>
        <w:t>投标人公章</w:t>
      </w:r>
      <w:bookmarkEnd w:id="90"/>
      <w:r>
        <w:rPr>
          <w:rFonts w:hint="eastAsia" w:ascii="宋体" w:hAnsi="宋体"/>
          <w:bCs/>
          <w:sz w:val="24"/>
          <w:lang w:val="zh-CN"/>
        </w:rPr>
        <w:t>：</w:t>
      </w:r>
    </w:p>
    <w:bookmarkEnd w:id="88"/>
    <w:bookmarkEnd w:id="89"/>
    <w:p>
      <w:pPr>
        <w:spacing w:line="480" w:lineRule="exact"/>
        <w:rPr>
          <w:rFonts w:ascii="黑体" w:hAnsi="宋体" w:eastAsia="黑体"/>
          <w:bCs/>
          <w:sz w:val="28"/>
          <w:szCs w:val="28"/>
        </w:rPr>
      </w:pPr>
      <w:bookmarkStart w:id="91" w:name="OLE_LINK146"/>
      <w:r>
        <w:rPr>
          <w:rFonts w:ascii="黑体" w:hAnsi="宋体" w:eastAsia="黑体"/>
          <w:bCs/>
          <w:sz w:val="24"/>
          <w:szCs w:val="24"/>
        </w:rPr>
        <w:br w:type="page"/>
      </w:r>
      <w:r>
        <w:rPr>
          <w:rFonts w:hint="eastAsia" w:ascii="黑体" w:hAnsi="宋体" w:eastAsia="黑体"/>
          <w:bCs/>
          <w:sz w:val="28"/>
          <w:szCs w:val="28"/>
        </w:rPr>
        <w:t>（二）报价文件：</w:t>
      </w:r>
      <w:bookmarkEnd w:id="91"/>
    </w:p>
    <w:bookmarkEnd w:id="84"/>
    <w:p>
      <w:pPr>
        <w:spacing w:before="156" w:beforeLines="50" w:after="156" w:afterLines="50"/>
        <w:jc w:val="center"/>
        <w:rPr>
          <w:rFonts w:hint="eastAsia" w:ascii="黑体" w:eastAsia="黑体"/>
          <w:bCs/>
          <w:sz w:val="24"/>
          <w:szCs w:val="24"/>
        </w:rPr>
      </w:pPr>
      <w:bookmarkStart w:id="92" w:name="OLE_LINK4"/>
      <w:bookmarkStart w:id="93" w:name="_Toc32423"/>
      <w:bookmarkStart w:id="94" w:name="OLE_LINK32"/>
      <w:r>
        <w:rPr>
          <w:rFonts w:hint="eastAsia" w:ascii="黑体" w:eastAsia="黑体"/>
          <w:bCs/>
          <w:sz w:val="24"/>
          <w:szCs w:val="24"/>
        </w:rPr>
        <w:t>开标一览表</w:t>
      </w:r>
      <w:bookmarkEnd w:id="92"/>
      <w:bookmarkEnd w:id="93"/>
    </w:p>
    <w:p>
      <w:pPr>
        <w:jc w:val="center"/>
        <w:rPr>
          <w:rFonts w:hint="eastAsia" w:ascii="宋体" w:hAnsi="宋体"/>
          <w:sz w:val="28"/>
          <w:szCs w:val="28"/>
        </w:rPr>
      </w:pPr>
      <w:r>
        <w:rPr>
          <w:rFonts w:hint="eastAsia" w:ascii="宋体" w:hAnsi="宋体"/>
          <w:sz w:val="28"/>
          <w:szCs w:val="28"/>
        </w:rPr>
        <w:t>标段一</w:t>
      </w:r>
    </w:p>
    <w:p>
      <w:pPr>
        <w:ind w:left="1"/>
        <w:jc w:val="center"/>
        <w:rPr>
          <w:rFonts w:hint="eastAsia" w:ascii="宋体" w:hAnsi="宋体"/>
          <w:sz w:val="24"/>
          <w:szCs w:val="24"/>
        </w:rPr>
      </w:pPr>
      <w:r>
        <w:rPr>
          <w:rFonts w:hint="eastAsia" w:ascii="宋体" w:hAnsi="宋体"/>
          <w:sz w:val="24"/>
          <w:szCs w:val="24"/>
        </w:rPr>
        <w:t>投标人名称（盖章）：                                    单位：元</w:t>
      </w:r>
    </w:p>
    <w:tbl>
      <w:tblPr>
        <w:tblStyle w:val="75"/>
        <w:tblW w:w="47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17"/>
        <w:gridCol w:w="1417"/>
        <w:gridCol w:w="1276"/>
        <w:gridCol w:w="971"/>
        <w:gridCol w:w="1622"/>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noWrap/>
            <w:vAlign w:val="center"/>
          </w:tcPr>
          <w:p>
            <w:pPr>
              <w:jc w:val="center"/>
              <w:rPr>
                <w:rFonts w:ascii="宋体" w:hAnsi="宋体"/>
                <w:b/>
                <w:bCs/>
                <w:sz w:val="24"/>
              </w:rPr>
            </w:pPr>
            <w:r>
              <w:rPr>
                <w:rFonts w:hint="eastAsia" w:ascii="宋体" w:hAnsi="宋体"/>
                <w:b/>
                <w:bCs/>
                <w:sz w:val="24"/>
                <w:szCs w:val="24"/>
              </w:rPr>
              <w:t>序号</w:t>
            </w:r>
          </w:p>
        </w:tc>
        <w:tc>
          <w:tcPr>
            <w:tcW w:w="807" w:type="pct"/>
            <w:noWrap/>
            <w:vAlign w:val="center"/>
          </w:tcPr>
          <w:p>
            <w:pPr>
              <w:jc w:val="center"/>
              <w:rPr>
                <w:rFonts w:ascii="宋体" w:hAnsi="宋体"/>
                <w:b/>
                <w:bCs/>
                <w:sz w:val="24"/>
              </w:rPr>
            </w:pPr>
            <w:r>
              <w:rPr>
                <w:rFonts w:hint="eastAsia" w:ascii="宋体" w:hAnsi="宋体"/>
                <w:b/>
                <w:bCs/>
                <w:sz w:val="24"/>
                <w:szCs w:val="24"/>
              </w:rPr>
              <w:t>产品名称</w:t>
            </w:r>
          </w:p>
        </w:tc>
        <w:tc>
          <w:tcPr>
            <w:tcW w:w="807" w:type="pct"/>
            <w:noWrap/>
            <w:vAlign w:val="center"/>
          </w:tcPr>
          <w:p>
            <w:pPr>
              <w:jc w:val="center"/>
              <w:rPr>
                <w:rFonts w:ascii="宋体" w:hAnsi="宋体"/>
                <w:b/>
                <w:bCs/>
                <w:sz w:val="24"/>
              </w:rPr>
            </w:pPr>
            <w:r>
              <w:rPr>
                <w:rFonts w:hint="eastAsia" w:ascii="宋体" w:hAnsi="宋体"/>
                <w:b/>
                <w:bCs/>
                <w:sz w:val="24"/>
                <w:szCs w:val="24"/>
              </w:rPr>
              <w:t>规格</w:t>
            </w:r>
          </w:p>
        </w:tc>
        <w:tc>
          <w:tcPr>
            <w:tcW w:w="727" w:type="pct"/>
            <w:noWrap w:val="0"/>
            <w:vAlign w:val="center"/>
          </w:tcPr>
          <w:p>
            <w:pPr>
              <w:jc w:val="center"/>
              <w:rPr>
                <w:rFonts w:ascii="宋体" w:hAnsi="宋体"/>
                <w:b/>
                <w:bCs/>
                <w:sz w:val="24"/>
              </w:rPr>
            </w:pPr>
            <w:r>
              <w:rPr>
                <w:rFonts w:hint="eastAsia" w:ascii="宋体" w:hAnsi="宋体"/>
                <w:b/>
                <w:bCs/>
                <w:sz w:val="24"/>
                <w:szCs w:val="24"/>
              </w:rPr>
              <w:t>最低限价（元/吨）</w:t>
            </w:r>
          </w:p>
        </w:tc>
        <w:tc>
          <w:tcPr>
            <w:tcW w:w="553" w:type="pct"/>
            <w:noWrap w:val="0"/>
            <w:vAlign w:val="center"/>
          </w:tcPr>
          <w:p>
            <w:pPr>
              <w:jc w:val="center"/>
              <w:rPr>
                <w:rFonts w:hint="eastAsia" w:ascii="宋体" w:hAnsi="宋体"/>
                <w:b/>
                <w:bCs/>
                <w:sz w:val="24"/>
                <w:szCs w:val="24"/>
              </w:rPr>
            </w:pPr>
            <w:r>
              <w:rPr>
                <w:rFonts w:hint="eastAsia" w:ascii="宋体" w:hAnsi="宋体"/>
                <w:b/>
                <w:bCs/>
                <w:sz w:val="24"/>
                <w:szCs w:val="24"/>
              </w:rPr>
              <w:t>上浮</w:t>
            </w:r>
          </w:p>
          <w:p>
            <w:pPr>
              <w:jc w:val="center"/>
              <w:rPr>
                <w:rFonts w:hint="eastAsia" w:ascii="宋体" w:hAnsi="宋体"/>
                <w:b/>
                <w:bCs/>
                <w:sz w:val="24"/>
                <w:szCs w:val="24"/>
              </w:rPr>
            </w:pPr>
            <w:r>
              <w:rPr>
                <w:rFonts w:hint="eastAsia" w:ascii="宋体" w:hAnsi="宋体"/>
                <w:b/>
                <w:bCs/>
                <w:sz w:val="24"/>
                <w:szCs w:val="24"/>
              </w:rPr>
              <w:t>系数</w:t>
            </w:r>
          </w:p>
        </w:tc>
        <w:tc>
          <w:tcPr>
            <w:tcW w:w="924" w:type="pct"/>
            <w:noWrap w:val="0"/>
            <w:vAlign w:val="center"/>
          </w:tcPr>
          <w:p>
            <w:pPr>
              <w:jc w:val="center"/>
              <w:rPr>
                <w:rFonts w:hint="eastAsia" w:ascii="宋体" w:hAnsi="宋体"/>
                <w:b/>
                <w:bCs/>
                <w:sz w:val="24"/>
                <w:szCs w:val="24"/>
              </w:rPr>
            </w:pPr>
            <w:r>
              <w:rPr>
                <w:rFonts w:hint="eastAsia" w:ascii="宋体" w:hAnsi="宋体"/>
                <w:b/>
                <w:bCs/>
                <w:sz w:val="24"/>
                <w:szCs w:val="24"/>
              </w:rPr>
              <w:t>单价</w:t>
            </w:r>
          </w:p>
          <w:p>
            <w:pPr>
              <w:jc w:val="center"/>
              <w:rPr>
                <w:rFonts w:hint="eastAsia" w:ascii="宋体" w:hAnsi="宋体"/>
                <w:b/>
                <w:bCs/>
                <w:sz w:val="24"/>
                <w:szCs w:val="24"/>
              </w:rPr>
            </w:pPr>
            <w:r>
              <w:rPr>
                <w:rFonts w:hint="eastAsia" w:ascii="宋体" w:hAnsi="宋体"/>
                <w:b/>
                <w:bCs/>
                <w:sz w:val="24"/>
                <w:szCs w:val="24"/>
              </w:rPr>
              <w:t>（元/吨）</w:t>
            </w:r>
          </w:p>
        </w:tc>
        <w:tc>
          <w:tcPr>
            <w:tcW w:w="699" w:type="pct"/>
            <w:noWrap/>
            <w:vAlign w:val="center"/>
          </w:tcPr>
          <w:p>
            <w:pPr>
              <w:jc w:val="center"/>
              <w:rPr>
                <w:rFonts w:ascii="宋体" w:hAnsi="宋体"/>
                <w:b/>
                <w:bCs/>
                <w:sz w:val="24"/>
              </w:rPr>
            </w:pPr>
            <w:r>
              <w:rPr>
                <w:rFonts w:hint="eastAsia" w:ascii="宋体" w:hAnsi="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noWrap/>
            <w:vAlign w:val="center"/>
          </w:tcPr>
          <w:p>
            <w:pPr>
              <w:spacing w:line="360" w:lineRule="auto"/>
              <w:jc w:val="center"/>
              <w:rPr>
                <w:rFonts w:ascii="宋体" w:hAnsi="宋体"/>
                <w:sz w:val="24"/>
              </w:rPr>
            </w:pPr>
            <w:r>
              <w:rPr>
                <w:rFonts w:hint="eastAsia" w:ascii="宋体" w:hAnsi="宋体"/>
                <w:sz w:val="24"/>
                <w:szCs w:val="24"/>
              </w:rPr>
              <w:t>1</w:t>
            </w:r>
          </w:p>
        </w:tc>
        <w:tc>
          <w:tcPr>
            <w:tcW w:w="807" w:type="pct"/>
            <w:noWrap/>
            <w:vAlign w:val="center"/>
          </w:tcPr>
          <w:p>
            <w:pPr>
              <w:spacing w:line="360" w:lineRule="auto"/>
              <w:jc w:val="center"/>
              <w:rPr>
                <w:rFonts w:ascii="宋体" w:hAnsi="宋体"/>
                <w:sz w:val="24"/>
              </w:rPr>
            </w:pPr>
            <w:r>
              <w:rPr>
                <w:rFonts w:hint="eastAsia" w:ascii="宋体" w:hAnsi="宋体"/>
                <w:sz w:val="24"/>
                <w:szCs w:val="24"/>
              </w:rPr>
              <w:t>骨料</w:t>
            </w:r>
          </w:p>
        </w:tc>
        <w:tc>
          <w:tcPr>
            <w:tcW w:w="807" w:type="pct"/>
            <w:noWrap/>
            <w:vAlign w:val="center"/>
          </w:tcPr>
          <w:p>
            <w:pPr>
              <w:spacing w:line="360" w:lineRule="auto"/>
              <w:jc w:val="center"/>
              <w:rPr>
                <w:rFonts w:ascii="宋体" w:hAnsi="宋体"/>
                <w:sz w:val="24"/>
              </w:rPr>
            </w:pPr>
            <w:r>
              <w:rPr>
                <w:rFonts w:hint="eastAsia" w:ascii="宋体" w:hAnsi="宋体"/>
                <w:sz w:val="24"/>
                <w:szCs w:val="24"/>
              </w:rPr>
              <w:t>100-150mm</w:t>
            </w:r>
          </w:p>
        </w:tc>
        <w:tc>
          <w:tcPr>
            <w:tcW w:w="727" w:type="pct"/>
            <w:noWrap w:val="0"/>
            <w:vAlign w:val="center"/>
          </w:tcPr>
          <w:p>
            <w:pPr>
              <w:widowControl/>
              <w:jc w:val="center"/>
              <w:rPr>
                <w:rFonts w:ascii="宋体" w:hAnsi="宋体" w:cs="Arial"/>
                <w:color w:val="000000"/>
                <w:kern w:val="0"/>
                <w:sz w:val="24"/>
                <w:szCs w:val="24"/>
              </w:rPr>
            </w:pPr>
            <w:r>
              <w:rPr>
                <w:rFonts w:hint="eastAsia" w:ascii="宋体" w:hAnsi="宋体" w:cs="Arial"/>
                <w:color w:val="000000"/>
                <w:kern w:val="0"/>
                <w:sz w:val="24"/>
                <w:szCs w:val="24"/>
              </w:rPr>
              <w:t>22</w:t>
            </w:r>
          </w:p>
        </w:tc>
        <w:tc>
          <w:tcPr>
            <w:tcW w:w="553" w:type="pct"/>
            <w:noWrap w:val="0"/>
            <w:vAlign w:val="top"/>
          </w:tcPr>
          <w:p>
            <w:pPr>
              <w:spacing w:line="360" w:lineRule="auto"/>
              <w:jc w:val="center"/>
              <w:rPr>
                <w:rFonts w:ascii="宋体" w:hAnsi="宋体"/>
                <w:sz w:val="24"/>
              </w:rPr>
            </w:pPr>
          </w:p>
        </w:tc>
        <w:tc>
          <w:tcPr>
            <w:tcW w:w="924" w:type="pct"/>
            <w:noWrap w:val="0"/>
            <w:vAlign w:val="top"/>
          </w:tcPr>
          <w:p>
            <w:pPr>
              <w:spacing w:line="360" w:lineRule="auto"/>
              <w:jc w:val="center"/>
              <w:rPr>
                <w:rFonts w:hint="eastAsia" w:ascii="宋体" w:hAnsi="宋体"/>
                <w:szCs w:val="21"/>
              </w:rPr>
            </w:pPr>
          </w:p>
        </w:tc>
        <w:tc>
          <w:tcPr>
            <w:tcW w:w="699" w:type="pct"/>
            <w:noWrap/>
            <w:vAlign w:val="center"/>
          </w:tcPr>
          <w:p>
            <w:pPr>
              <w:jc w:val="center"/>
              <w:rPr>
                <w:rFonts w:hint="eastAsia" w:ascii="宋体" w:hAnsi="宋体"/>
                <w:szCs w:val="21"/>
              </w:rPr>
            </w:pPr>
            <w:r>
              <w:rPr>
                <w:rFonts w:hint="eastAsia" w:ascii="宋体" w:hAnsi="宋体"/>
                <w:szCs w:val="21"/>
              </w:rPr>
              <w:t>含13%</w:t>
            </w:r>
          </w:p>
          <w:p>
            <w:pPr>
              <w:jc w:val="center"/>
              <w:rPr>
                <w:rFonts w:ascii="宋体" w:hAnsi="宋体"/>
                <w:sz w:val="24"/>
              </w:rPr>
            </w:pPr>
            <w:r>
              <w:rPr>
                <w:rFonts w:hint="eastAsia" w:ascii="宋体" w:hAnsi="宋体"/>
                <w:szCs w:val="21"/>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pct"/>
            <w:gridSpan w:val="2"/>
            <w:noWrap/>
            <w:vAlign w:val="top"/>
          </w:tcPr>
          <w:p>
            <w:pPr>
              <w:spacing w:line="360" w:lineRule="auto"/>
              <w:jc w:val="center"/>
              <w:rPr>
                <w:rFonts w:hint="eastAsia" w:ascii="宋体" w:hAnsi="宋体"/>
                <w:sz w:val="24"/>
                <w:szCs w:val="24"/>
              </w:rPr>
            </w:pPr>
            <w:r>
              <w:rPr>
                <w:rFonts w:hint="eastAsia" w:ascii="宋体" w:hAnsi="宋体"/>
                <w:sz w:val="24"/>
                <w:szCs w:val="24"/>
              </w:rPr>
              <w:t>小计（元）</w:t>
            </w:r>
          </w:p>
        </w:tc>
        <w:tc>
          <w:tcPr>
            <w:tcW w:w="3710" w:type="pct"/>
            <w:gridSpan w:val="5"/>
            <w:noWrap w:val="0"/>
            <w:vAlign w:val="top"/>
          </w:tcPr>
          <w:p>
            <w:pPr>
              <w:spacing w:line="360" w:lineRule="auto"/>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pct"/>
            <w:gridSpan w:val="2"/>
            <w:noWrap/>
            <w:vAlign w:val="top"/>
          </w:tcPr>
          <w:p>
            <w:pPr>
              <w:spacing w:line="360" w:lineRule="auto"/>
              <w:jc w:val="center"/>
              <w:rPr>
                <w:rFonts w:hint="eastAsia" w:ascii="宋体" w:hAnsi="宋体"/>
                <w:sz w:val="24"/>
                <w:szCs w:val="24"/>
              </w:rPr>
            </w:pPr>
            <w:r>
              <w:rPr>
                <w:rFonts w:hint="eastAsia" w:ascii="宋体" w:hAnsi="宋体"/>
                <w:sz w:val="24"/>
                <w:szCs w:val="24"/>
              </w:rPr>
              <w:t>大写</w:t>
            </w:r>
          </w:p>
        </w:tc>
        <w:tc>
          <w:tcPr>
            <w:tcW w:w="3710" w:type="pct"/>
            <w:gridSpan w:val="5"/>
            <w:noWrap w:val="0"/>
            <w:vAlign w:val="top"/>
          </w:tcPr>
          <w:p>
            <w:pPr>
              <w:spacing w:line="360" w:lineRule="auto"/>
              <w:jc w:val="center"/>
              <w:rPr>
                <w:rFonts w:hint="eastAsia" w:ascii="宋体" w:hAnsi="宋体"/>
                <w:szCs w:val="21"/>
              </w:rPr>
            </w:pPr>
          </w:p>
        </w:tc>
      </w:tr>
    </w:tbl>
    <w:p>
      <w:pPr>
        <w:rPr>
          <w:rFonts w:hint="eastAsia" w:ascii="宋体" w:hAnsi="宋体"/>
          <w:sz w:val="24"/>
          <w:szCs w:val="24"/>
        </w:rPr>
      </w:pPr>
    </w:p>
    <w:p>
      <w:pPr>
        <w:rPr>
          <w:rFonts w:hint="eastAsia" w:ascii="宋体" w:hAnsi="宋体"/>
          <w:sz w:val="24"/>
          <w:szCs w:val="24"/>
        </w:rPr>
      </w:pPr>
      <w:r>
        <w:rPr>
          <w:rFonts w:hint="eastAsia" w:ascii="宋体" w:hAnsi="宋体"/>
          <w:sz w:val="24"/>
          <w:szCs w:val="24"/>
        </w:rPr>
        <w:t>投标人签名：                                          日期：</w:t>
      </w:r>
    </w:p>
    <w:p>
      <w:pPr>
        <w:ind w:firstLine="420" w:firstLineChars="200"/>
        <w:jc w:val="left"/>
        <w:rPr>
          <w:rFonts w:hint="eastAsia" w:ascii="宋体" w:hAnsi="宋体"/>
          <w:szCs w:val="21"/>
          <w:lang w:val="zh-CN"/>
        </w:rPr>
      </w:pPr>
      <w:r>
        <w:rPr>
          <w:rFonts w:hint="eastAsia" w:ascii="宋体" w:hAnsi="宋体"/>
          <w:szCs w:val="21"/>
          <w:lang w:val="zh-CN"/>
        </w:rPr>
        <w:t>注：①本合同为单价合同，投标单价应全部考虑了包括所有货物、调试、人力、机械（</w:t>
      </w:r>
      <w:r>
        <w:rPr>
          <w:rFonts w:hint="eastAsia" w:ascii="ˎ̥" w:hAnsi="ˎ̥" w:cs="宋体"/>
          <w:kern w:val="0"/>
          <w:szCs w:val="21"/>
          <w:u w:val="single"/>
        </w:rPr>
        <w:t>装车费由销售方负责</w:t>
      </w:r>
      <w:r>
        <w:rPr>
          <w:rFonts w:hint="eastAsia" w:ascii="宋体" w:hAnsi="宋体"/>
          <w:szCs w:val="21"/>
          <w:lang w:val="zh-CN"/>
        </w:rPr>
        <w:t>）、运输、仓储、各种税费、劳保、专利技术、质保、政策性文件规定及合同包含的所有风险、责任等各项所有费用。</w:t>
      </w:r>
    </w:p>
    <w:p>
      <w:pPr>
        <w:ind w:firstLine="424" w:firstLineChars="202"/>
        <w:jc w:val="left"/>
        <w:rPr>
          <w:rFonts w:hint="eastAsia" w:ascii="宋体" w:hAnsi="宋体"/>
          <w:szCs w:val="21"/>
          <w:lang w:val="zh-CN"/>
        </w:rPr>
      </w:pPr>
      <w:r>
        <w:rPr>
          <w:rFonts w:hint="eastAsia" w:ascii="宋体" w:hAnsi="宋体"/>
          <w:szCs w:val="21"/>
          <w:lang w:val="zh-CN"/>
        </w:rPr>
        <w:t>②每一项货物仅接受一个价格，响应文件应对《投标一览表》中的全部项目进行投标，只投其中部分者，投标无效。</w:t>
      </w:r>
    </w:p>
    <w:p>
      <w:pPr>
        <w:ind w:firstLine="424" w:firstLineChars="202"/>
        <w:jc w:val="left"/>
        <w:rPr>
          <w:rFonts w:hint="eastAsia" w:ascii="宋体" w:hAnsi="宋体"/>
          <w:szCs w:val="21"/>
          <w:lang w:val="zh-CN"/>
        </w:rPr>
      </w:pPr>
      <w:r>
        <w:rPr>
          <w:rFonts w:hint="eastAsia" w:ascii="宋体" w:hAnsi="宋体"/>
          <w:szCs w:val="21"/>
          <w:lang w:val="zh-CN"/>
        </w:rPr>
        <w:t>③销售方根据需要调配实际销售的数量，各中标单位所有货品以实际销售数量结算。</w:t>
      </w:r>
    </w:p>
    <w:bookmarkEnd w:id="94"/>
    <w:p>
      <w:pPr>
        <w:rPr>
          <w:rFonts w:hint="eastAsia" w:ascii="宋体" w:hAnsi="宋体"/>
          <w:szCs w:val="21"/>
          <w:lang w:val="zh-CN"/>
        </w:rPr>
      </w:pPr>
    </w:p>
    <w:p>
      <w:pPr>
        <w:rPr>
          <w:rFonts w:ascii="黑体" w:hAnsi="宋体" w:eastAsia="黑体"/>
          <w:bCs/>
          <w:sz w:val="28"/>
          <w:szCs w:val="28"/>
        </w:rPr>
      </w:pPr>
      <w:bookmarkStart w:id="95" w:name="OLE_LINK151"/>
      <w:bookmarkStart w:id="96" w:name="_Toc8000"/>
      <w:r>
        <w:rPr>
          <w:rFonts w:ascii="黑体" w:hAnsi="宋体" w:eastAsia="黑体"/>
          <w:bCs/>
          <w:sz w:val="28"/>
          <w:szCs w:val="28"/>
        </w:rPr>
        <w:br w:type="page"/>
      </w:r>
      <w:r>
        <w:rPr>
          <w:rFonts w:hint="eastAsia" w:ascii="黑体" w:hAnsi="宋体" w:eastAsia="黑体"/>
          <w:bCs/>
          <w:sz w:val="28"/>
          <w:szCs w:val="28"/>
        </w:rPr>
        <w:t>（三）资格证明文件</w:t>
      </w:r>
      <w:bookmarkEnd w:id="95"/>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6"/>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YXCYJT202109011</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宜兴市公用建环资源循环利用有限公司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YXCYJT202109011</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bCs/>
          <w:sz w:val="24"/>
          <w:szCs w:val="24"/>
        </w:rPr>
        <w:t>YXCYJT202109011</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宜兴市公用建环资源循环利用有限公司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代表我公司（单位）全权办理针对上述项目的投标、参与开标、投标、签约等具体工作，并签署全部有关的文件、协议及合同。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7"/>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YXCYJT202109011</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hint="eastAsia" w:ascii="宋体" w:hAnsi="宋体"/>
          <w:b/>
          <w:bCs/>
          <w:sz w:val="24"/>
          <w:szCs w:val="24"/>
        </w:rPr>
      </w:pPr>
      <w:r>
        <w:rPr>
          <w:rFonts w:hint="eastAsia" w:ascii="宋体" w:hAnsi="宋体"/>
          <w:b/>
          <w:bCs/>
          <w:sz w:val="24"/>
          <w:szCs w:val="24"/>
        </w:rPr>
        <w:t>投标人资格条件：</w:t>
      </w:r>
    </w:p>
    <w:p>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1、关于资格的声明函</w:t>
      </w:r>
      <w:r>
        <w:rPr>
          <w:rFonts w:hint="eastAsia" w:ascii="宋体" w:hAnsi="宋体"/>
          <w:bCs/>
          <w:sz w:val="24"/>
          <w:szCs w:val="24"/>
        </w:rPr>
        <w:t>（附法定代表人身份证复印件（正反两面）</w:t>
      </w:r>
      <w:r>
        <w:rPr>
          <w:rFonts w:hint="eastAsia" w:ascii="宋体" w:hAnsi="宋体"/>
          <w:sz w:val="24"/>
          <w:szCs w:val="24"/>
        </w:rPr>
        <w:t>（格式见附件）</w:t>
      </w:r>
      <w:r>
        <w:rPr>
          <w:rFonts w:hint="eastAsia" w:ascii="宋体" w:hAnsi="宋体"/>
          <w:bCs/>
          <w:sz w:val="24"/>
          <w:szCs w:val="24"/>
        </w:rPr>
        <w:t>；</w:t>
      </w:r>
    </w:p>
    <w:p>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2、</w:t>
      </w:r>
      <w:r>
        <w:rPr>
          <w:rFonts w:hint="eastAsia" w:ascii="宋体" w:hAnsi="宋体"/>
          <w:sz w:val="24"/>
          <w:szCs w:val="24"/>
        </w:rPr>
        <w:t>投标人法定代表人授权委托书原件</w:t>
      </w:r>
      <w:r>
        <w:rPr>
          <w:rFonts w:hint="eastAsia" w:ascii="宋体" w:hAnsi="宋体"/>
          <w:sz w:val="24"/>
          <w:szCs w:val="21"/>
        </w:rPr>
        <w:t>及被授权代表的身份证复印件</w:t>
      </w:r>
      <w:r>
        <w:rPr>
          <w:rFonts w:hint="eastAsia" w:ascii="宋体" w:hAnsi="宋体"/>
          <w:sz w:val="24"/>
          <w:szCs w:val="24"/>
        </w:rPr>
        <w:t>（法定代表人亲自参加投标的除外）；</w:t>
      </w:r>
      <w:r>
        <w:rPr>
          <w:rFonts w:hint="eastAsia" w:ascii="宋体" w:hAnsi="宋体"/>
          <w:bCs/>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r>
        <w:rPr>
          <w:rFonts w:hint="eastAsia" w:ascii="宋体" w:hAnsi="宋体"/>
          <w:sz w:val="24"/>
          <w:szCs w:val="24"/>
        </w:rPr>
        <w:t>（格式见附件）</w:t>
      </w:r>
    </w:p>
    <w:p>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3、投标人具有独立承担民事责任能力的供应商营业执照或法人（登记）证书复印件（</w:t>
      </w:r>
      <w:r>
        <w:rPr>
          <w:rFonts w:hint="eastAsia"/>
          <w:sz w:val="24"/>
          <w:szCs w:val="24"/>
        </w:rPr>
        <w:t>投标时</w:t>
      </w:r>
      <w:r>
        <w:rPr>
          <w:rFonts w:hint="eastAsia" w:ascii="宋体" w:hAnsi="宋体"/>
          <w:bCs/>
          <w:sz w:val="24"/>
          <w:szCs w:val="24"/>
          <w:lang w:val="zh-CN"/>
        </w:rPr>
        <w:t>必须提交相应原件或公证件）；</w:t>
      </w:r>
    </w:p>
    <w:p>
      <w:p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4、投标人依法缴纳近十二个月中任意一个月份税收的相关材料（提供相关主管部门证明或银行代扣证明）复印件；</w:t>
      </w:r>
    </w:p>
    <w:p>
      <w:pPr>
        <w:tabs>
          <w:tab w:val="left" w:pos="420"/>
          <w:tab w:val="left" w:pos="945"/>
          <w:tab w:val="left" w:pos="1155"/>
        </w:tabs>
        <w:spacing w:line="360" w:lineRule="auto"/>
        <w:ind w:firstLine="504" w:firstLineChars="210"/>
        <w:rPr>
          <w:rFonts w:hint="eastAsia" w:ascii="宋体" w:hAnsi="宋体"/>
          <w:sz w:val="24"/>
          <w:szCs w:val="24"/>
        </w:rPr>
      </w:pPr>
      <w:r>
        <w:rPr>
          <w:rFonts w:hint="eastAsia" w:ascii="宋体" w:hAnsi="宋体"/>
          <w:sz w:val="24"/>
          <w:szCs w:val="21"/>
        </w:rPr>
        <w:t>5、投标保证金交纳证明复印件</w:t>
      </w:r>
      <w:r>
        <w:rPr>
          <w:rFonts w:hint="eastAsia" w:ascii="宋体" w:hAnsi="宋体"/>
          <w:b/>
          <w:sz w:val="24"/>
          <w:szCs w:val="21"/>
        </w:rPr>
        <w:t>（</w:t>
      </w:r>
      <w:r>
        <w:rPr>
          <w:rFonts w:hint="eastAsia" w:ascii="宋体" w:hAnsi="宋体"/>
          <w:sz w:val="24"/>
          <w:szCs w:val="21"/>
        </w:rPr>
        <w:t>银行转账记录</w:t>
      </w:r>
      <w:r>
        <w:rPr>
          <w:rFonts w:hint="eastAsia" w:ascii="宋体" w:hAnsi="宋体"/>
          <w:b/>
          <w:sz w:val="24"/>
          <w:szCs w:val="21"/>
        </w:rPr>
        <w:t>）</w:t>
      </w:r>
      <w:r>
        <w:rPr>
          <w:rFonts w:hint="eastAsia" w:ascii="宋体" w:hAnsi="宋体"/>
          <w:sz w:val="24"/>
          <w:szCs w:val="21"/>
        </w:rPr>
        <w:t>；</w:t>
      </w:r>
    </w:p>
    <w:p>
      <w:pPr>
        <w:tabs>
          <w:tab w:val="left" w:pos="142"/>
          <w:tab w:val="left" w:pos="945"/>
          <w:tab w:val="left" w:pos="1155"/>
        </w:tabs>
        <w:spacing w:line="360" w:lineRule="auto"/>
        <w:ind w:firstLine="424" w:firstLineChars="177"/>
        <w:rPr>
          <w:rFonts w:hint="eastAsia" w:ascii="宋体" w:hAnsi="宋体" w:cs="宋体"/>
          <w:sz w:val="24"/>
          <w:szCs w:val="24"/>
        </w:rPr>
      </w:pPr>
      <w:r>
        <w:rPr>
          <w:rFonts w:hint="eastAsia" w:ascii="宋体" w:hAnsi="宋体"/>
          <w:sz w:val="24"/>
          <w:szCs w:val="21"/>
        </w:rPr>
        <w:t xml:space="preserve"> </w:t>
      </w:r>
    </w:p>
    <w:p>
      <w:pPr>
        <w:tabs>
          <w:tab w:val="left" w:pos="0"/>
          <w:tab w:val="left" w:pos="945"/>
          <w:tab w:val="left" w:pos="1155"/>
        </w:tabs>
        <w:spacing w:line="360" w:lineRule="auto"/>
        <w:ind w:firstLine="504" w:firstLineChars="210"/>
        <w:rPr>
          <w:rFonts w:hint="eastAsia"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ascii="黑体" w:hAnsi="宋体" w:eastAsia="黑体"/>
          <w:bCs/>
          <w:sz w:val="24"/>
          <w:szCs w:val="24"/>
        </w:rPr>
      </w:pPr>
      <w:bookmarkStart w:id="97"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YXCYJT202109011</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97"/>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ascii="宋体" w:hAnsi="宋体"/>
          <w:sz w:val="24"/>
          <w:szCs w:val="21"/>
        </w:rPr>
      </w:pPr>
    </w:p>
    <w:p>
      <w:pPr>
        <w:jc w:val="center"/>
        <w:rPr>
          <w:rFonts w:hint="eastAsia" w:ascii="黑体" w:hAnsi="黑体" w:eastAsia="黑体"/>
          <w:bCs/>
          <w:sz w:val="44"/>
          <w:szCs w:val="44"/>
        </w:rPr>
      </w:pPr>
      <w:r>
        <w:rPr>
          <w:rFonts w:hint="eastAsia" w:ascii="黑体" w:hAnsi="黑体" w:eastAsia="黑体"/>
          <w:bCs/>
          <w:sz w:val="44"/>
          <w:szCs w:val="44"/>
        </w:rPr>
        <w:t>宜兴市公用建环资源循环利用有限公司</w:t>
      </w:r>
    </w:p>
    <w:p>
      <w:pPr>
        <w:jc w:val="center"/>
        <w:rPr>
          <w:rFonts w:hint="eastAsia" w:ascii="宋体" w:hAnsi="宋体"/>
          <w:b/>
          <w:bCs/>
          <w:sz w:val="44"/>
          <w:szCs w:val="44"/>
        </w:rPr>
      </w:pPr>
      <w:r>
        <w:rPr>
          <w:rFonts w:hint="eastAsia" w:ascii="黑体" w:hAnsi="黑体" w:eastAsia="黑体"/>
          <w:bCs/>
          <w:sz w:val="44"/>
          <w:szCs w:val="44"/>
        </w:rPr>
        <w:t>骨料出售（2021年第二批）项目</w:t>
      </w:r>
    </w:p>
    <w:p>
      <w:pPr>
        <w:jc w:val="center"/>
        <w:rPr>
          <w:rFonts w:hint="eastAsia" w:ascii="黑体" w:hAnsi="黑体" w:eastAsia="黑体"/>
          <w:bCs/>
          <w:sz w:val="44"/>
          <w:szCs w:val="44"/>
        </w:rPr>
      </w:pPr>
      <w:r>
        <w:rPr>
          <w:rFonts w:hint="eastAsia" w:ascii="黑体" w:hAnsi="黑体" w:eastAsia="黑体"/>
          <w:bCs/>
          <w:sz w:val="44"/>
          <w:szCs w:val="44"/>
        </w:rPr>
        <w:t>竞价公告（第三次）</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因工作需要，现组织宜兴市公用建环资源循环利用有限公司对骨料出售（2021年第二批）项目进行投标。现欢迎符合相关条件的供应商参加投标。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YXCYJT202109011</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骨料出售（2021年第二批）项目</w:t>
      </w:r>
    </w:p>
    <w:p>
      <w:pPr>
        <w:ind w:firstLine="560" w:firstLineChars="200"/>
        <w:rPr>
          <w:rFonts w:ascii="仿宋_GB2312" w:eastAsia="仿宋_GB2312"/>
          <w:sz w:val="28"/>
          <w:szCs w:val="28"/>
        </w:rPr>
      </w:pPr>
      <w:r>
        <w:rPr>
          <w:rFonts w:hint="eastAsia" w:ascii="仿宋_GB2312" w:eastAsia="仿宋_GB2312"/>
          <w:sz w:val="28"/>
          <w:szCs w:val="28"/>
        </w:rPr>
        <w:t>③项目简要说明：详见投标文件</w:t>
      </w:r>
    </w:p>
    <w:p>
      <w:pPr>
        <w:pStyle w:val="129"/>
        <w:rPr>
          <w:rFonts w:hint="eastAsia" w:ascii="仿宋_GB2312" w:eastAsia="仿宋_GB2312"/>
          <w:kern w:val="2"/>
          <w:sz w:val="28"/>
          <w:szCs w:val="28"/>
          <w:u w:val="none" w:color="auto"/>
        </w:rPr>
      </w:pPr>
      <w:r>
        <w:rPr>
          <w:rFonts w:hint="eastAsia" w:ascii="仿宋_GB2312" w:eastAsia="仿宋_GB2312"/>
          <w:sz w:val="28"/>
          <w:szCs w:val="28"/>
        </w:rPr>
        <w:t xml:space="preserve">    ④</w:t>
      </w:r>
      <w:r>
        <w:rPr>
          <w:rFonts w:hint="eastAsia" w:ascii="仿宋_GB2312" w:eastAsia="仿宋_GB2312"/>
          <w:kern w:val="2"/>
          <w:sz w:val="28"/>
          <w:szCs w:val="28"/>
          <w:u w:val="none" w:color="auto"/>
        </w:rPr>
        <w:t>本项目最低限价为：22元/吨</w:t>
      </w:r>
    </w:p>
    <w:p>
      <w:pPr>
        <w:ind w:firstLine="555"/>
        <w:jc w:val="left"/>
        <w:rPr>
          <w:rFonts w:hint="eastAsia" w:ascii="仿宋_GB2312" w:eastAsia="仿宋_GB2312"/>
          <w:kern w:val="0"/>
          <w:sz w:val="28"/>
          <w:szCs w:val="28"/>
          <w:u w:val="none" w:color="000000"/>
        </w:rPr>
      </w:pPr>
      <w:r>
        <w:rPr>
          <w:rFonts w:hint="eastAsia" w:ascii="仿宋_GB2312" w:eastAsia="仿宋_GB2312"/>
          <w:sz w:val="28"/>
          <w:szCs w:val="28"/>
        </w:rPr>
        <w:t>⑤</w:t>
      </w:r>
      <w:r>
        <w:rPr>
          <w:rFonts w:hint="eastAsia" w:ascii="仿宋_GB2312" w:eastAsia="仿宋_GB2312"/>
          <w:kern w:val="0"/>
          <w:sz w:val="28"/>
          <w:szCs w:val="28"/>
          <w:u w:val="none" w:color="000000"/>
        </w:rPr>
        <w:t>出售方式：竞价出售</w:t>
      </w:r>
    </w:p>
    <w:p>
      <w:pPr>
        <w:ind w:firstLine="555"/>
        <w:jc w:val="left"/>
        <w:rPr>
          <w:rFonts w:hint="eastAsia" w:ascii="宋体" w:hAnsi="宋体"/>
          <w:sz w:val="24"/>
          <w:szCs w:val="28"/>
        </w:rPr>
      </w:pPr>
      <w:r>
        <w:rPr>
          <w:rFonts w:hint="eastAsia" w:ascii="仿宋_GB2312" w:eastAsia="仿宋_GB2312"/>
          <w:kern w:val="0"/>
          <w:sz w:val="28"/>
          <w:szCs w:val="28"/>
          <w:u w:val="none" w:color="000000"/>
        </w:rPr>
        <w:t>⑥评审办法：最高中标价法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rPr>
          <w:rFonts w:ascii="仿宋_GB2312" w:eastAsia="仿宋_GB2312"/>
          <w:sz w:val="28"/>
          <w:szCs w:val="28"/>
        </w:rPr>
      </w:pPr>
      <w:r>
        <w:rPr>
          <w:rFonts w:hint="eastAsia" w:ascii="仿宋_GB2312" w:eastAsia="仿宋_GB2312"/>
          <w:sz w:val="28"/>
          <w:szCs w:val="28"/>
        </w:rPr>
        <w:t xml:space="preserve">    ①具有独立承担民事责任的能力；</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②有依法缴纳税收的良好记录；</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⑤无不良信用记录；</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⑥营业执照经营范围需涵盖建筑材料销售资格。</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1、提交投标文件截止及开标时间：2021年10月18日10:00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2021年10 月11日-2021年10 月18日。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98" w:name="OLE_LINK29"/>
            <w:bookmarkEnd w:id="98"/>
            <w:r>
              <w:rPr>
                <w:rFonts w:hint="eastAsia" w:ascii="仿宋_GB2312" w:eastAsia="仿宋_GB2312"/>
                <w:sz w:val="28"/>
                <w:szCs w:val="28"/>
              </w:rPr>
              <w:t>采购人：</w:t>
            </w:r>
            <w:r>
              <w:rPr>
                <w:rFonts w:hint="eastAsia" w:ascii="仿宋" w:hAnsi="仿宋" w:eastAsia="仿宋" w:cs="仿宋"/>
                <w:sz w:val="28"/>
                <w:szCs w:val="28"/>
              </w:rPr>
              <w:t>宜兴市公用建环资源循环利用有限公司</w:t>
            </w:r>
          </w:p>
          <w:p>
            <w:pPr>
              <w:spacing w:line="560" w:lineRule="exact"/>
              <w:rPr>
                <w:rFonts w:ascii="仿宋_GB2312" w:eastAsia="仿宋_GB2312"/>
                <w:sz w:val="28"/>
                <w:szCs w:val="28"/>
              </w:rPr>
            </w:pPr>
            <w:r>
              <w:rPr>
                <w:rFonts w:hint="eastAsia" w:ascii="仿宋_GB2312" w:eastAsia="仿宋_GB2312"/>
                <w:sz w:val="28"/>
                <w:szCs w:val="28"/>
              </w:rPr>
              <w:t>联系人：应先生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宜兴市公用建环资源循环利用有限公司</w:t>
      </w:r>
      <w:r>
        <w:rPr>
          <w:rFonts w:hint="eastAsia" w:ascii="仿宋_GB2312" w:eastAsia="仿宋_GB2312"/>
          <w:sz w:val="28"/>
          <w:szCs w:val="28"/>
        </w:rPr>
        <w:t xml:space="preserve">                                          2021年10月11日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E-F1">
    <w:altName w:val="Malgun Gothic"/>
    <w:panose1 w:val="0206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2010609000101010101"/>
    <w:charset w:val="86"/>
    <w:family w:val="modern"/>
    <w:pitch w:val="default"/>
    <w:sig w:usb0="00000000" w:usb1="00000000" w:usb2="00000010" w:usb3="00000000" w:csb0="00040000" w:csb1="00000000"/>
  </w:font>
  <w:font w:name="EU-F1">
    <w:altName w:val="宋体"/>
    <w:panose1 w:val="03000509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_GB2312">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25</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88"/>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6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9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56"/>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17"/>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59"/>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38"/>
      <w:lvlText w:val="%5．"/>
      <w:lvlJc w:val="left"/>
      <w:pPr>
        <w:tabs>
          <w:tab w:val="left" w:pos="360"/>
        </w:tabs>
        <w:ind w:left="360" w:hanging="360"/>
      </w:pPr>
      <w:rPr>
        <w:rFonts w:hint="default"/>
      </w:rPr>
    </w:lvl>
    <w:lvl w:ilvl="5" w:tentative="0">
      <w:start w:val="5"/>
      <w:numFmt w:val="decimal"/>
      <w:pStyle w:val="242"/>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08575685"/>
    <w:multiLevelType w:val="singleLevel"/>
    <w:tmpl w:val="08575685"/>
    <w:lvl w:ilvl="0" w:tentative="0">
      <w:start w:val="6"/>
      <w:numFmt w:val="chineseCounting"/>
      <w:suff w:val="space"/>
      <w:lvlText w:val="第%1条"/>
      <w:lvlJc w:val="left"/>
      <w:rPr>
        <w:rFonts w:hint="eastAsia"/>
      </w:rPr>
    </w:lvl>
  </w:abstractNum>
  <w:abstractNum w:abstractNumId="15">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19">
    <w:nsid w:val="51AB004E"/>
    <w:multiLevelType w:val="singleLevel"/>
    <w:tmpl w:val="51AB004E"/>
    <w:lvl w:ilvl="0" w:tentative="0">
      <w:start w:val="2"/>
      <w:numFmt w:val="chineseCounting"/>
      <w:suff w:val="space"/>
      <w:lvlText w:val="第%1条"/>
      <w:lvlJc w:val="left"/>
      <w:rPr>
        <w:rFonts w:hint="eastAsia"/>
      </w:r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5"/>
  </w:num>
  <w:num w:numId="2">
    <w:abstractNumId w:val="10"/>
  </w:num>
  <w:num w:numId="3">
    <w:abstractNumId w:val="18"/>
  </w:num>
  <w:num w:numId="4">
    <w:abstractNumId w:val="17"/>
  </w:num>
  <w:num w:numId="5">
    <w:abstractNumId w:val="16"/>
  </w:num>
  <w:num w:numId="6">
    <w:abstractNumId w:val="15"/>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4"/>
  </w:num>
  <w:num w:numId="15">
    <w:abstractNumId w:val="20"/>
  </w:num>
  <w:num w:numId="16">
    <w:abstractNumId w:val="9"/>
  </w:num>
  <w:num w:numId="17">
    <w:abstractNumId w:val="23"/>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9"/>
  </w:num>
  <w:num w:numId="25">
    <w:abstractNumId w:val="1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5A9E"/>
    <w:rsid w:val="00016618"/>
    <w:rsid w:val="000171B6"/>
    <w:rsid w:val="00025596"/>
    <w:rsid w:val="000255A4"/>
    <w:rsid w:val="00027A8A"/>
    <w:rsid w:val="00031EDA"/>
    <w:rsid w:val="00037C92"/>
    <w:rsid w:val="00042CC3"/>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5EE2"/>
    <w:rsid w:val="00102273"/>
    <w:rsid w:val="00107521"/>
    <w:rsid w:val="00110153"/>
    <w:rsid w:val="00115C57"/>
    <w:rsid w:val="00123949"/>
    <w:rsid w:val="00137BFB"/>
    <w:rsid w:val="00142558"/>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6193"/>
    <w:rsid w:val="002A1E2E"/>
    <w:rsid w:val="002A24D8"/>
    <w:rsid w:val="002B08FF"/>
    <w:rsid w:val="002B39BB"/>
    <w:rsid w:val="002C70BA"/>
    <w:rsid w:val="002D2D82"/>
    <w:rsid w:val="002D5406"/>
    <w:rsid w:val="002E51F7"/>
    <w:rsid w:val="0030271C"/>
    <w:rsid w:val="00316BF4"/>
    <w:rsid w:val="00325CA3"/>
    <w:rsid w:val="00342F5B"/>
    <w:rsid w:val="0034450C"/>
    <w:rsid w:val="003451BB"/>
    <w:rsid w:val="00362009"/>
    <w:rsid w:val="00367385"/>
    <w:rsid w:val="003757F4"/>
    <w:rsid w:val="0037783C"/>
    <w:rsid w:val="00377A1A"/>
    <w:rsid w:val="0038324F"/>
    <w:rsid w:val="003937B6"/>
    <w:rsid w:val="00393C62"/>
    <w:rsid w:val="00394046"/>
    <w:rsid w:val="00396495"/>
    <w:rsid w:val="003974B6"/>
    <w:rsid w:val="003B376F"/>
    <w:rsid w:val="003B4D1C"/>
    <w:rsid w:val="003C34D3"/>
    <w:rsid w:val="003D60A1"/>
    <w:rsid w:val="003E1D25"/>
    <w:rsid w:val="003E3E6D"/>
    <w:rsid w:val="003F27C7"/>
    <w:rsid w:val="003F3E55"/>
    <w:rsid w:val="003F7B1A"/>
    <w:rsid w:val="00405956"/>
    <w:rsid w:val="00443203"/>
    <w:rsid w:val="00445969"/>
    <w:rsid w:val="00450BE4"/>
    <w:rsid w:val="00465523"/>
    <w:rsid w:val="00474C4A"/>
    <w:rsid w:val="00485C68"/>
    <w:rsid w:val="00490924"/>
    <w:rsid w:val="00496BF9"/>
    <w:rsid w:val="004A16AA"/>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381F"/>
    <w:rsid w:val="00563CCD"/>
    <w:rsid w:val="00572186"/>
    <w:rsid w:val="00575902"/>
    <w:rsid w:val="00575E96"/>
    <w:rsid w:val="005B3469"/>
    <w:rsid w:val="005B4FA7"/>
    <w:rsid w:val="005C2860"/>
    <w:rsid w:val="005C6322"/>
    <w:rsid w:val="005D10C0"/>
    <w:rsid w:val="005F5205"/>
    <w:rsid w:val="005F73AF"/>
    <w:rsid w:val="0060445B"/>
    <w:rsid w:val="006052C9"/>
    <w:rsid w:val="00611F53"/>
    <w:rsid w:val="00612EEF"/>
    <w:rsid w:val="006170A3"/>
    <w:rsid w:val="00622113"/>
    <w:rsid w:val="00624DB0"/>
    <w:rsid w:val="00625FBA"/>
    <w:rsid w:val="00631C56"/>
    <w:rsid w:val="00633259"/>
    <w:rsid w:val="00636A45"/>
    <w:rsid w:val="00641E38"/>
    <w:rsid w:val="006453F2"/>
    <w:rsid w:val="00657F7E"/>
    <w:rsid w:val="006626C6"/>
    <w:rsid w:val="00667851"/>
    <w:rsid w:val="0067075C"/>
    <w:rsid w:val="00673B42"/>
    <w:rsid w:val="0067729E"/>
    <w:rsid w:val="0068693F"/>
    <w:rsid w:val="00690980"/>
    <w:rsid w:val="00695113"/>
    <w:rsid w:val="00697679"/>
    <w:rsid w:val="00697BBB"/>
    <w:rsid w:val="006C2FFD"/>
    <w:rsid w:val="006C5913"/>
    <w:rsid w:val="006D196A"/>
    <w:rsid w:val="006E1EAA"/>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E637F"/>
    <w:rsid w:val="008F05D2"/>
    <w:rsid w:val="008F2EEF"/>
    <w:rsid w:val="008F5CE2"/>
    <w:rsid w:val="008F6B7A"/>
    <w:rsid w:val="008F6B7B"/>
    <w:rsid w:val="0090199D"/>
    <w:rsid w:val="00901CE3"/>
    <w:rsid w:val="00904D0F"/>
    <w:rsid w:val="00905D4E"/>
    <w:rsid w:val="00916FFD"/>
    <w:rsid w:val="00922A8A"/>
    <w:rsid w:val="00923D0D"/>
    <w:rsid w:val="0092743B"/>
    <w:rsid w:val="00932F13"/>
    <w:rsid w:val="00933662"/>
    <w:rsid w:val="0094024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B033D"/>
    <w:rsid w:val="009B3CF3"/>
    <w:rsid w:val="009C1577"/>
    <w:rsid w:val="009C298E"/>
    <w:rsid w:val="009C45FD"/>
    <w:rsid w:val="009C5527"/>
    <w:rsid w:val="009C7C3F"/>
    <w:rsid w:val="009E2E56"/>
    <w:rsid w:val="009E559E"/>
    <w:rsid w:val="009E74DE"/>
    <w:rsid w:val="00A2421A"/>
    <w:rsid w:val="00A24A80"/>
    <w:rsid w:val="00A24DED"/>
    <w:rsid w:val="00A2544B"/>
    <w:rsid w:val="00A36160"/>
    <w:rsid w:val="00A52BEF"/>
    <w:rsid w:val="00A5785A"/>
    <w:rsid w:val="00A678FA"/>
    <w:rsid w:val="00A72C5E"/>
    <w:rsid w:val="00A76493"/>
    <w:rsid w:val="00A8737E"/>
    <w:rsid w:val="00A91BD7"/>
    <w:rsid w:val="00A92322"/>
    <w:rsid w:val="00A927BE"/>
    <w:rsid w:val="00A95E84"/>
    <w:rsid w:val="00AA30CA"/>
    <w:rsid w:val="00AC2325"/>
    <w:rsid w:val="00AC4069"/>
    <w:rsid w:val="00AC6C6F"/>
    <w:rsid w:val="00AD04E4"/>
    <w:rsid w:val="00AD0AA0"/>
    <w:rsid w:val="00AD499B"/>
    <w:rsid w:val="00AD4C89"/>
    <w:rsid w:val="00AE543B"/>
    <w:rsid w:val="00B00209"/>
    <w:rsid w:val="00B02D95"/>
    <w:rsid w:val="00B032CC"/>
    <w:rsid w:val="00B17D9D"/>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466C"/>
    <w:rsid w:val="00BF7E55"/>
    <w:rsid w:val="00C032FB"/>
    <w:rsid w:val="00C1057C"/>
    <w:rsid w:val="00C20209"/>
    <w:rsid w:val="00C25F3D"/>
    <w:rsid w:val="00C2680F"/>
    <w:rsid w:val="00C30004"/>
    <w:rsid w:val="00C32A38"/>
    <w:rsid w:val="00C33F56"/>
    <w:rsid w:val="00C43230"/>
    <w:rsid w:val="00C46E18"/>
    <w:rsid w:val="00C57957"/>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B5D82"/>
    <w:rsid w:val="00CD5E41"/>
    <w:rsid w:val="00CD660B"/>
    <w:rsid w:val="00CE088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B01"/>
    <w:rsid w:val="00D8328E"/>
    <w:rsid w:val="00D855B4"/>
    <w:rsid w:val="00DA06C5"/>
    <w:rsid w:val="00DA0EEC"/>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5A95"/>
    <w:rsid w:val="00E56CB4"/>
    <w:rsid w:val="00E57313"/>
    <w:rsid w:val="00E57464"/>
    <w:rsid w:val="00E66277"/>
    <w:rsid w:val="00E7041F"/>
    <w:rsid w:val="00E7084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73C8"/>
    <w:rsid w:val="00FF7989"/>
    <w:rsid w:val="01BC5A23"/>
    <w:rsid w:val="05487E4B"/>
    <w:rsid w:val="088C2CFA"/>
    <w:rsid w:val="0A3B412B"/>
    <w:rsid w:val="0C651757"/>
    <w:rsid w:val="0E6024DC"/>
    <w:rsid w:val="0F1613C4"/>
    <w:rsid w:val="1009308B"/>
    <w:rsid w:val="1078285E"/>
    <w:rsid w:val="147F4D1A"/>
    <w:rsid w:val="168A3D2C"/>
    <w:rsid w:val="18E61AB7"/>
    <w:rsid w:val="1908229C"/>
    <w:rsid w:val="1A7B546E"/>
    <w:rsid w:val="215A19BE"/>
    <w:rsid w:val="23EC2F12"/>
    <w:rsid w:val="2AED2CDD"/>
    <w:rsid w:val="2BC11C46"/>
    <w:rsid w:val="2D161B30"/>
    <w:rsid w:val="30282920"/>
    <w:rsid w:val="30D41037"/>
    <w:rsid w:val="312E356C"/>
    <w:rsid w:val="31497D8B"/>
    <w:rsid w:val="319E5533"/>
    <w:rsid w:val="33060EBA"/>
    <w:rsid w:val="390F59BE"/>
    <w:rsid w:val="3C187F0E"/>
    <w:rsid w:val="3CEA44D4"/>
    <w:rsid w:val="3E9876E2"/>
    <w:rsid w:val="3E987883"/>
    <w:rsid w:val="3EE424B4"/>
    <w:rsid w:val="40574364"/>
    <w:rsid w:val="420B6FB7"/>
    <w:rsid w:val="42EC32E2"/>
    <w:rsid w:val="43443D9B"/>
    <w:rsid w:val="437171AF"/>
    <w:rsid w:val="4497534F"/>
    <w:rsid w:val="45156357"/>
    <w:rsid w:val="45ED31E3"/>
    <w:rsid w:val="46D51EE4"/>
    <w:rsid w:val="4CA74191"/>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F92827"/>
    <w:rsid w:val="63A8209E"/>
    <w:rsid w:val="646140D3"/>
    <w:rsid w:val="64776A5C"/>
    <w:rsid w:val="64E20A6D"/>
    <w:rsid w:val="651B74EF"/>
    <w:rsid w:val="67156804"/>
    <w:rsid w:val="69E82E1F"/>
    <w:rsid w:val="6C855E71"/>
    <w:rsid w:val="6D601BDC"/>
    <w:rsid w:val="6D702077"/>
    <w:rsid w:val="70285A41"/>
    <w:rsid w:val="72007BC7"/>
    <w:rsid w:val="72430013"/>
    <w:rsid w:val="754A1135"/>
    <w:rsid w:val="76961D80"/>
    <w:rsid w:val="787539A8"/>
    <w:rsid w:val="7E0056FB"/>
    <w:rsid w:val="7EAF3F8C"/>
    <w:rsid w:val="7F416A44"/>
    <w:rsid w:val="7F461BC0"/>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qFormat="1"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qFormat="1"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qFormat/>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qFormat/>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qFormat/>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2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99"/>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正文文本 3 Char1"/>
    <w:basedOn w:val="77"/>
    <w:link w:val="28"/>
    <w:semiHidden/>
    <w:uiPriority w:val="99"/>
    <w:rPr>
      <w:rFonts w:ascii="Times New Roman" w:hAnsi="Times New Roman"/>
      <w:kern w:val="2"/>
      <w:sz w:val="16"/>
      <w:szCs w:val="16"/>
    </w:rPr>
  </w:style>
  <w:style w:type="character" w:customStyle="1" w:styleId="128">
    <w:name w:val="纯文本 Char1"/>
    <w:basedOn w:val="77"/>
    <w:link w:val="41"/>
    <w:semiHidden/>
    <w:uiPriority w:val="99"/>
    <w:rPr>
      <w:rFonts w:ascii="宋体" w:hAnsi="Courier New" w:cs="Courier New"/>
      <w:kern w:val="2"/>
      <w:sz w:val="21"/>
      <w:szCs w:val="21"/>
    </w:rPr>
  </w:style>
  <w:style w:type="paragraph" w:customStyle="1" w:styleId="129">
    <w:name w:val="普通文字"/>
    <w:basedOn w:val="1"/>
    <w:next w:val="1"/>
    <w:qFormat/>
    <w:uiPriority w:val="0"/>
    <w:rPr>
      <w:rFonts w:ascii="宋体"/>
      <w:kern w:val="0"/>
      <w:sz w:val="24"/>
      <w:u w:val="none" w:color="000000"/>
    </w:rPr>
  </w:style>
  <w:style w:type="character" w:customStyle="1" w:styleId="130">
    <w:name w:val="明显参考1"/>
    <w:basedOn w:val="77"/>
    <w:qFormat/>
    <w:uiPriority w:val="99"/>
    <w:rPr>
      <w:rFonts w:cs="Times New Roman"/>
      <w:b/>
      <w:bCs/>
      <w:smallCaps/>
      <w:color w:val="C0504D"/>
      <w:spacing w:val="5"/>
      <w:u w:val="single"/>
    </w:rPr>
  </w:style>
  <w:style w:type="paragraph" w:customStyle="1" w:styleId="131">
    <w:name w:val="正文_1_1"/>
    <w:qFormat/>
    <w:uiPriority w:val="0"/>
    <w:pPr>
      <w:widowControl w:val="0"/>
      <w:jc w:val="both"/>
    </w:pPr>
    <w:rPr>
      <w:rFonts w:ascii="Calibri" w:hAnsi="Calibri" w:eastAsia="宋体" w:cs="Times New Roman"/>
      <w:kern w:val="2"/>
      <w:sz w:val="21"/>
      <w:szCs w:val="22"/>
      <w:lang w:val="en-US" w:eastAsia="zh-CN" w:bidi="ar-SA"/>
    </w:rPr>
  </w:style>
  <w:style w:type="paragraph" w:styleId="132">
    <w:name w:val="List Paragraph"/>
    <w:basedOn w:val="1"/>
    <w:qFormat/>
    <w:uiPriority w:val="0"/>
    <w:pPr>
      <w:ind w:firstLine="420" w:firstLineChars="200"/>
    </w:pPr>
  </w:style>
  <w:style w:type="paragraph" w:customStyle="1" w:styleId="133">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4">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5">
    <w:name w:val="Normal_0_0"/>
    <w:qFormat/>
    <w:uiPriority w:val="0"/>
    <w:rPr>
      <w:rFonts w:ascii="黑体" w:hAnsi="黑体" w:eastAsia="黑体" w:cs="Times New Roman"/>
      <w:b/>
      <w:sz w:val="32"/>
      <w:szCs w:val="24"/>
      <w:lang w:val="en-US" w:eastAsia="zh-CN" w:bidi="ar-SA"/>
    </w:rPr>
  </w:style>
  <w:style w:type="character" w:customStyle="1" w:styleId="136">
    <w:name w:val="样式 标题 1 + 加粗 Char Char"/>
    <w:basedOn w:val="137"/>
    <w:uiPriority w:val="0"/>
    <w:rPr>
      <w:b/>
      <w:bCs/>
    </w:rPr>
  </w:style>
  <w:style w:type="character" w:customStyle="1" w:styleId="137">
    <w:name w:val="标题 1 Char Char"/>
    <w:basedOn w:val="77"/>
    <w:uiPriority w:val="0"/>
    <w:rPr>
      <w:rFonts w:eastAsia="黑体"/>
      <w:kern w:val="44"/>
      <w:sz w:val="28"/>
      <w:szCs w:val="28"/>
      <w:lang w:val="en-US" w:eastAsia="zh-CN" w:bidi="ar-SA"/>
    </w:rPr>
  </w:style>
  <w:style w:type="character" w:customStyle="1" w:styleId="138">
    <w:name w:val="表头 Char Char"/>
    <w:basedOn w:val="77"/>
    <w:uiPriority w:val="0"/>
    <w:rPr>
      <w:rFonts w:eastAsia="黑体"/>
      <w:kern w:val="2"/>
      <w:sz w:val="21"/>
      <w:szCs w:val="21"/>
      <w:lang w:val="en-US" w:eastAsia="zh-CN" w:bidi="ar-SA"/>
    </w:rPr>
  </w:style>
  <w:style w:type="character" w:customStyle="1" w:styleId="139">
    <w:name w:val="样式 标题 2 + 五号 Char Char"/>
    <w:basedOn w:val="77"/>
    <w:uiPriority w:val="0"/>
    <w:rPr>
      <w:rFonts w:eastAsia="黑体"/>
      <w:bCs/>
      <w:kern w:val="2"/>
      <w:sz w:val="21"/>
      <w:szCs w:val="21"/>
      <w:lang w:val="en-US" w:eastAsia="zh-CN" w:bidi="ar-SA"/>
    </w:rPr>
  </w:style>
  <w:style w:type="paragraph" w:customStyle="1" w:styleId="140">
    <w:name w:val="p0"/>
    <w:basedOn w:val="1"/>
    <w:uiPriority w:val="0"/>
    <w:pPr>
      <w:widowControl/>
      <w:spacing w:after="200" w:line="273" w:lineRule="auto"/>
      <w:jc w:val="left"/>
    </w:pPr>
    <w:rPr>
      <w:rFonts w:ascii="Calibri" w:hAnsi="Calibri" w:cs="宋体"/>
      <w:kern w:val="0"/>
      <w:sz w:val="22"/>
      <w:szCs w:val="22"/>
    </w:rPr>
  </w:style>
  <w:style w:type="paragraph" w:customStyle="1" w:styleId="141">
    <w:name w:val="表文"/>
    <w:basedOn w:val="1"/>
    <w:uiPriority w:val="0"/>
    <w:pPr>
      <w:topLinePunct/>
      <w:spacing w:before="40" w:after="40"/>
    </w:pPr>
    <w:rPr>
      <w:sz w:val="18"/>
      <w:szCs w:val="18"/>
    </w:rPr>
  </w:style>
  <w:style w:type="paragraph" w:customStyle="1" w:styleId="142">
    <w:name w:val="样式 样式 标题 2 + 段前: 0.5 行 段后: 0.5 行 + 首行缩进:  2 字符 段前: 0.5 行 段后: 0..."/>
    <w:basedOn w:val="143"/>
    <w:uiPriority w:val="0"/>
  </w:style>
  <w:style w:type="paragraph" w:customStyle="1" w:styleId="14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4">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145">
    <w:name w:val="批注主题 Char Char"/>
    <w:basedOn w:val="26"/>
    <w:next w:val="26"/>
    <w:qFormat/>
    <w:uiPriority w:val="0"/>
    <w:rPr>
      <w:b/>
      <w:bCs/>
    </w:rPr>
  </w:style>
  <w:style w:type="paragraph" w:customStyle="1" w:styleId="146">
    <w:name w:val="表头"/>
    <w:basedOn w:val="1"/>
    <w:link w:val="147"/>
    <w:uiPriority w:val="0"/>
    <w:pPr>
      <w:topLinePunct/>
      <w:spacing w:before="160" w:after="60"/>
      <w:jc w:val="center"/>
    </w:pPr>
    <w:rPr>
      <w:rFonts w:eastAsia="黑体"/>
      <w:szCs w:val="21"/>
    </w:rPr>
  </w:style>
  <w:style w:type="character" w:customStyle="1" w:styleId="147">
    <w:name w:val="表头 Char"/>
    <w:basedOn w:val="77"/>
    <w:link w:val="146"/>
    <w:uiPriority w:val="0"/>
    <w:rPr>
      <w:rFonts w:ascii="Times New Roman" w:hAnsi="Times New Roman" w:eastAsia="黑体"/>
      <w:kern w:val="2"/>
      <w:sz w:val="21"/>
      <w:szCs w:val="21"/>
    </w:rPr>
  </w:style>
  <w:style w:type="paragraph" w:customStyle="1" w:styleId="148">
    <w:name w:val="默认段落字体 Para Char Char Char Char Char"/>
    <w:basedOn w:val="1"/>
    <w:uiPriority w:val="0"/>
    <w:rPr>
      <w:rFonts w:ascii="宋体" w:hAnsi="宋体"/>
      <w:b/>
      <w:color w:val="000000"/>
      <w:sz w:val="24"/>
      <w:szCs w:val="24"/>
    </w:rPr>
  </w:style>
  <w:style w:type="paragraph" w:customStyle="1" w:styleId="149">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150">
    <w:name w:val="样式6"/>
    <w:basedOn w:val="1"/>
    <w:uiPriority w:val="0"/>
    <w:pPr>
      <w:topLinePunct/>
      <w:spacing w:before="160" w:after="60"/>
      <w:jc w:val="center"/>
    </w:pPr>
    <w:rPr>
      <w:rFonts w:eastAsia="黑体"/>
      <w:szCs w:val="21"/>
    </w:rPr>
  </w:style>
  <w:style w:type="paragraph" w:customStyle="1" w:styleId="151">
    <w:name w:val="Char Char"/>
    <w:basedOn w:val="1"/>
    <w:uiPriority w:val="0"/>
    <w:rPr>
      <w:szCs w:val="21"/>
    </w:rPr>
  </w:style>
  <w:style w:type="paragraph" w:customStyle="1" w:styleId="152">
    <w:name w:val="列项——"/>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153">
    <w:name w:val="Char Char Char Char"/>
    <w:basedOn w:val="1"/>
    <w:uiPriority w:val="0"/>
    <w:rPr>
      <w:szCs w:val="24"/>
    </w:rPr>
  </w:style>
  <w:style w:type="paragraph" w:customStyle="1" w:styleId="15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15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156">
    <w:name w:val="Char"/>
    <w:basedOn w:val="1"/>
    <w:uiPriority w:val="0"/>
    <w:rPr>
      <w:szCs w:val="24"/>
    </w:rPr>
  </w:style>
  <w:style w:type="paragraph" w:customStyle="1" w:styleId="157">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158">
    <w:name w:val="批注框文本 Char Char"/>
    <w:basedOn w:val="1"/>
    <w:uiPriority w:val="0"/>
    <w:rPr>
      <w:sz w:val="18"/>
      <w:szCs w:val="18"/>
    </w:rPr>
  </w:style>
  <w:style w:type="paragraph" w:customStyle="1" w:styleId="159">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0">
    <w:name w:val="正文格式"/>
    <w:basedOn w:val="1"/>
    <w:uiPriority w:val="0"/>
    <w:pPr>
      <w:topLinePunct/>
      <w:ind w:firstLine="420" w:firstLineChars="200"/>
    </w:pPr>
    <w:rPr>
      <w:rFonts w:ascii="宋体" w:hAnsi="宋体"/>
      <w:bCs/>
      <w:szCs w:val="21"/>
    </w:rPr>
  </w:style>
  <w:style w:type="paragraph" w:customStyle="1" w:styleId="161">
    <w:name w:val="段"/>
    <w:link w:val="162"/>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62">
    <w:name w:val="段 Char Char"/>
    <w:basedOn w:val="77"/>
    <w:link w:val="161"/>
    <w:uiPriority w:val="0"/>
    <w:rPr>
      <w:rFonts w:ascii="宋体" w:hAnsi="Times New Roman"/>
      <w:sz w:val="21"/>
      <w:lang w:val="en-US" w:eastAsia="zh-CN" w:bidi="ar-SA"/>
    </w:rPr>
  </w:style>
  <w:style w:type="paragraph" w:customStyle="1" w:styleId="163">
    <w:name w:val="样式1"/>
    <w:basedOn w:val="1"/>
    <w:link w:val="164"/>
    <w:uiPriority w:val="0"/>
    <w:rPr>
      <w:sz w:val="28"/>
      <w:szCs w:val="24"/>
    </w:rPr>
  </w:style>
  <w:style w:type="character" w:customStyle="1" w:styleId="164">
    <w:name w:val="样式1 Char"/>
    <w:basedOn w:val="77"/>
    <w:link w:val="163"/>
    <w:locked/>
    <w:uiPriority w:val="0"/>
    <w:rPr>
      <w:rFonts w:ascii="Times New Roman" w:hAnsi="Times New Roman"/>
      <w:kern w:val="2"/>
      <w:sz w:val="28"/>
      <w:szCs w:val="24"/>
    </w:rPr>
  </w:style>
  <w:style w:type="paragraph" w:customStyle="1" w:styleId="165">
    <w:name w:val="样式4"/>
    <w:basedOn w:val="16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6">
    <w:name w:val="样式3"/>
    <w:basedOn w:val="163"/>
    <w:uiPriority w:val="0"/>
  </w:style>
  <w:style w:type="paragraph" w:customStyle="1" w:styleId="167">
    <w:name w:val="样式2"/>
    <w:basedOn w:val="163"/>
    <w:link w:val="168"/>
    <w:uiPriority w:val="0"/>
  </w:style>
  <w:style w:type="character" w:customStyle="1" w:styleId="168">
    <w:name w:val="样式2 Char Char"/>
    <w:link w:val="167"/>
    <w:uiPriority w:val="0"/>
    <w:rPr>
      <w:rFonts w:ascii="Times New Roman" w:hAnsi="Times New Roman"/>
      <w:kern w:val="2"/>
      <w:sz w:val="28"/>
      <w:szCs w:val="24"/>
    </w:rPr>
  </w:style>
  <w:style w:type="paragraph" w:customStyle="1" w:styleId="169">
    <w:name w:val="正文1"/>
    <w:basedOn w:val="163"/>
    <w:link w:val="170"/>
    <w:qFormat/>
    <w:uiPriority w:val="0"/>
  </w:style>
  <w:style w:type="character" w:customStyle="1" w:styleId="170">
    <w:name w:val="正文1 Char"/>
    <w:link w:val="169"/>
    <w:uiPriority w:val="0"/>
    <w:rPr>
      <w:rFonts w:ascii="Times New Roman" w:hAnsi="Times New Roman"/>
      <w:kern w:val="2"/>
      <w:sz w:val="28"/>
      <w:szCs w:val="24"/>
    </w:rPr>
  </w:style>
  <w:style w:type="character" w:customStyle="1" w:styleId="171">
    <w:name w:val="样式 标题 1 + 加粗 Char"/>
    <w:basedOn w:val="95"/>
    <w:uiPriority w:val="0"/>
    <w:rPr>
      <w:rFonts w:eastAsia="黑体"/>
      <w:b/>
      <w:bCs/>
      <w:sz w:val="28"/>
      <w:szCs w:val="28"/>
      <w:lang w:val="en-US" w:eastAsia="zh-CN" w:bidi="ar-SA"/>
    </w:rPr>
  </w:style>
  <w:style w:type="paragraph" w:customStyle="1" w:styleId="172">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173">
    <w:name w:val="二级条标题"/>
    <w:basedOn w:val="172"/>
    <w:next w:val="1"/>
    <w:uiPriority w:val="0"/>
    <w:pPr>
      <w:numPr>
        <w:ilvl w:val="3"/>
        <w:numId w:val="1"/>
      </w:numPr>
      <w:outlineLvl w:val="3"/>
    </w:pPr>
  </w:style>
  <w:style w:type="paragraph" w:customStyle="1" w:styleId="174">
    <w:name w:val="正文表标题"/>
    <w:next w:val="1"/>
    <w:uiPriority w:val="0"/>
    <w:pPr>
      <w:jc w:val="center"/>
    </w:pPr>
    <w:rPr>
      <w:rFonts w:ascii="黑体" w:hAnsi="Times New Roman" w:eastAsia="黑体" w:cs="Times New Roman"/>
      <w:sz w:val="21"/>
      <w:lang w:val="en-US" w:eastAsia="zh-CN" w:bidi="ar-SA"/>
    </w:rPr>
  </w:style>
  <w:style w:type="paragraph" w:customStyle="1" w:styleId="175">
    <w:name w:val="注："/>
    <w:next w:val="1"/>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character" w:customStyle="1" w:styleId="176">
    <w:name w:val="msoins"/>
    <w:uiPriority w:val="0"/>
    <w:rPr>
      <w:u w:val="single"/>
    </w:rPr>
  </w:style>
  <w:style w:type="character" w:customStyle="1" w:styleId="177">
    <w:name w:val="样式 正文（首行缩进两字） Char + 加粗 Char Char"/>
    <w:uiPriority w:val="0"/>
    <w:rPr>
      <w:rFonts w:eastAsia="宋体"/>
      <w:b/>
      <w:kern w:val="2"/>
      <w:sz w:val="21"/>
      <w:lang w:val="en-US" w:eastAsia="zh-CN"/>
    </w:rPr>
  </w:style>
  <w:style w:type="character" w:customStyle="1" w:styleId="178">
    <w:name w:val="style251"/>
    <w:uiPriority w:val="0"/>
    <w:rPr>
      <w:rFonts w:eastAsia="宋体"/>
      <w:kern w:val="2"/>
      <w:sz w:val="21"/>
      <w:lang w:val="en-US" w:eastAsia="zh-CN"/>
    </w:rPr>
  </w:style>
  <w:style w:type="character" w:customStyle="1" w:styleId="179">
    <w:name w:val="着重强调"/>
    <w:uiPriority w:val="0"/>
    <w:rPr>
      <w:rFonts w:ascii="Arial" w:hAnsi="Arial"/>
      <w:b/>
      <w:spacing w:val="-4"/>
    </w:rPr>
  </w:style>
  <w:style w:type="character" w:customStyle="1" w:styleId="180">
    <w:name w:val="发布"/>
    <w:uiPriority w:val="0"/>
    <w:rPr>
      <w:rFonts w:ascii="黑体" w:eastAsia="黑体"/>
      <w:spacing w:val="22"/>
      <w:w w:val="100"/>
      <w:position w:val="3"/>
      <w:sz w:val="28"/>
    </w:rPr>
  </w:style>
  <w:style w:type="character" w:customStyle="1" w:styleId="181">
    <w:name w:val="样式 样式 正文缩进正文缩进 Char正文（首行缩进两字） Char Char正文（首行缩进两字） Char1正文（首行缩进两.... Char Char"/>
    <w:basedOn w:val="182"/>
    <w:link w:val="184"/>
    <w:uiPriority w:val="0"/>
  </w:style>
  <w:style w:type="character" w:customStyle="1" w:styleId="182">
    <w:name w:val="样式 正文缩进正文缩进 Char正文（首行缩进两字） Char Char正文（首行缩进两字） Char1正文（首行缩进两...1 Char Char"/>
    <w:link w:val="183"/>
    <w:uiPriority w:val="0"/>
    <w:rPr>
      <w:kern w:val="2"/>
      <w:sz w:val="21"/>
    </w:rPr>
  </w:style>
  <w:style w:type="paragraph" w:customStyle="1" w:styleId="183">
    <w:name w:val="样式 正文缩进正文缩进 Char正文（首行缩进两字） Char Char正文（首行缩进两字） Char1正文（首行缩进两...1"/>
    <w:basedOn w:val="1"/>
    <w:link w:val="182"/>
    <w:uiPriority w:val="0"/>
    <w:pPr>
      <w:spacing w:beforeLines="10" w:line="312" w:lineRule="auto"/>
      <w:ind w:firstLine="200" w:firstLineChars="200"/>
    </w:pPr>
    <w:rPr>
      <w:rFonts w:ascii="Calibri" w:hAnsi="Calibri"/>
    </w:rPr>
  </w:style>
  <w:style w:type="paragraph" w:customStyle="1" w:styleId="184">
    <w:name w:val="样式 样式 正文缩进正文缩进 Char正文（首行缩进两字） Char Char正文（首行缩进两字） Char1正文（首行缩进两...."/>
    <w:basedOn w:val="183"/>
    <w:link w:val="181"/>
    <w:uiPriority w:val="0"/>
    <w:pPr>
      <w:spacing w:line="300" w:lineRule="auto"/>
    </w:pPr>
    <w:rPr>
      <w:rFonts w:ascii="Calibri" w:hAnsi="Calibri"/>
    </w:rPr>
  </w:style>
  <w:style w:type="character" w:customStyle="1" w:styleId="185">
    <w:name w:val="样式 Times New Roman 首行缩进:  0.74 厘米 段前: 0.1 行 行距1.15 Char Char"/>
    <w:link w:val="186"/>
    <w:uiPriority w:val="0"/>
    <w:rPr>
      <w:rFonts w:hAnsi="宋体"/>
      <w:kern w:val="2"/>
      <w:sz w:val="21"/>
    </w:rPr>
  </w:style>
  <w:style w:type="paragraph" w:customStyle="1" w:styleId="186">
    <w:name w:val="样式 Times New Roman 首行缩进:  0.74 厘米 段前: 0.1 行 行距1.15"/>
    <w:basedOn w:val="1"/>
    <w:link w:val="185"/>
    <w:uiPriority w:val="0"/>
    <w:pPr>
      <w:spacing w:line="276" w:lineRule="auto"/>
      <w:ind w:firstLine="420"/>
    </w:pPr>
    <w:rPr>
      <w:rFonts w:ascii="Calibri" w:hAnsi="宋体"/>
    </w:rPr>
  </w:style>
  <w:style w:type="character" w:customStyle="1" w:styleId="187">
    <w:name w:val="样式 样式 Times New Roman 首行缩进:  0.74 厘米 段前: 0行 行距1.15 + (符号) Tim... Char Char"/>
    <w:basedOn w:val="185"/>
    <w:link w:val="188"/>
    <w:uiPriority w:val="0"/>
  </w:style>
  <w:style w:type="paragraph" w:customStyle="1" w:styleId="188">
    <w:name w:val="样式 样式 Times New Roman 首行缩进:  0.74 厘米 段前: 0行 行距1.15 + (符号) Tim..."/>
    <w:basedOn w:val="186"/>
    <w:link w:val="187"/>
    <w:uiPriority w:val="0"/>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个人撰写风格"/>
    <w:uiPriority w:val="0"/>
    <w:rPr>
      <w:rFonts w:ascii="Arial" w:hAnsi="Arial" w:eastAsia="宋体"/>
      <w:color w:val="auto"/>
      <w:sz w:val="20"/>
    </w:rPr>
  </w:style>
  <w:style w:type="character" w:customStyle="1" w:styleId="192">
    <w:name w:val="H2 Char"/>
    <w:uiPriority w:val="0"/>
    <w:rPr>
      <w:rFonts w:ascii="Arial" w:hAnsi="Arial" w:eastAsia="黑体"/>
      <w:b/>
      <w:kern w:val="2"/>
      <w:sz w:val="32"/>
      <w:lang w:val="en-US" w:eastAsia="zh-CN"/>
    </w:rPr>
  </w:style>
  <w:style w:type="character" w:customStyle="1" w:styleId="193">
    <w:name w:val="样式 宋体"/>
    <w:uiPriority w:val="0"/>
    <w:rPr>
      <w:rFonts w:ascii="宋体" w:eastAsia="宋体"/>
      <w:sz w:val="18"/>
    </w:rPr>
  </w:style>
  <w:style w:type="character" w:customStyle="1" w:styleId="194">
    <w:name w:val="样式 a) Char Char"/>
    <w:link w:val="195"/>
    <w:uiPriority w:val="0"/>
    <w:rPr>
      <w:kern w:val="2"/>
      <w:sz w:val="21"/>
    </w:rPr>
  </w:style>
  <w:style w:type="paragraph" w:customStyle="1" w:styleId="195">
    <w:name w:val="样式 a)"/>
    <w:basedOn w:val="1"/>
    <w:next w:val="1"/>
    <w:link w:val="194"/>
    <w:uiPriority w:val="0"/>
    <w:pPr>
      <w:tabs>
        <w:tab w:val="left" w:pos="780"/>
      </w:tabs>
      <w:spacing w:beforeLines="10" w:line="312" w:lineRule="auto"/>
      <w:ind w:firstLine="200" w:firstLineChars="200"/>
    </w:pPr>
    <w:rPr>
      <w:rFonts w:ascii="Calibri" w:hAnsi="Calibri"/>
    </w:rPr>
  </w:style>
  <w:style w:type="character" w:customStyle="1" w:styleId="196">
    <w:name w:val="样式 标题 2 + 段前: 0.1 行 Char Char"/>
    <w:link w:val="197"/>
    <w:uiPriority w:val="0"/>
    <w:rPr>
      <w:b/>
      <w:kern w:val="2"/>
      <w:sz w:val="21"/>
    </w:rPr>
  </w:style>
  <w:style w:type="paragraph" w:customStyle="1" w:styleId="197">
    <w:name w:val="样式 标题 2 + 段前: 0.1 行"/>
    <w:basedOn w:val="4"/>
    <w:link w:val="196"/>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98">
    <w:name w:val="样式 正文（首行缩进两字） Char + Times New Roman Char Char"/>
    <w:basedOn w:val="199"/>
    <w:link w:val="201"/>
    <w:uiPriority w:val="0"/>
  </w:style>
  <w:style w:type="character" w:customStyle="1" w:styleId="199">
    <w:name w:val="样式1正文（首行缩进两字） Char Char Char"/>
    <w:link w:val="200"/>
    <w:uiPriority w:val="0"/>
    <w:rPr>
      <w:kern w:val="2"/>
      <w:sz w:val="21"/>
    </w:rPr>
  </w:style>
  <w:style w:type="paragraph" w:customStyle="1" w:styleId="200">
    <w:name w:val="样式1正文（首行缩进两字） Char"/>
    <w:basedOn w:val="1"/>
    <w:next w:val="1"/>
    <w:link w:val="199"/>
    <w:uiPriority w:val="0"/>
    <w:pPr>
      <w:topLinePunct/>
      <w:snapToGrid w:val="0"/>
      <w:spacing w:before="40" w:after="40"/>
      <w:ind w:firstLine="396" w:firstLineChars="200"/>
    </w:pPr>
    <w:rPr>
      <w:rFonts w:ascii="Calibri" w:hAnsi="Calibri"/>
    </w:rPr>
  </w:style>
  <w:style w:type="paragraph" w:customStyle="1" w:styleId="201">
    <w:name w:val="样式 正文（首行缩进两字） Char + Times New Roman"/>
    <w:basedOn w:val="200"/>
    <w:link w:val="198"/>
    <w:uiPriority w:val="0"/>
    <w:pPr>
      <w:ind w:firstLine="0" w:firstLineChars="0"/>
      <w:jc w:val="center"/>
    </w:pPr>
    <w:rPr>
      <w:rFonts w:ascii="Calibri" w:hAnsi="Calibri"/>
    </w:rPr>
  </w:style>
  <w:style w:type="character" w:customStyle="1" w:styleId="202">
    <w:name w:val="H1 Char"/>
    <w:uiPriority w:val="0"/>
    <w:rPr>
      <w:rFonts w:ascii="Arial" w:hAnsi="Arial" w:eastAsia="黑体"/>
      <w:kern w:val="21"/>
      <w:sz w:val="21"/>
      <w:lang w:val="en-US" w:eastAsia="zh-CN"/>
    </w:rPr>
  </w:style>
  <w:style w:type="character" w:customStyle="1" w:styleId="203">
    <w:name w:val="列表编号 2 Char Char"/>
    <w:uiPriority w:val="0"/>
    <w:rPr>
      <w:rFonts w:ascii="Arial" w:hAnsi="Arial" w:eastAsia="宋体"/>
      <w:sz w:val="18"/>
      <w:lang w:val="en-US" w:eastAsia="zh-CN"/>
    </w:rPr>
  </w:style>
  <w:style w:type="character" w:customStyle="1" w:styleId="204">
    <w:name w:val="Char Char2"/>
    <w:uiPriority w:val="0"/>
    <w:rPr>
      <w:rFonts w:ascii="Arial" w:hAnsi="Arial" w:eastAsia="宋体"/>
      <w:kern w:val="2"/>
      <w:sz w:val="21"/>
      <w:lang w:val="en-US" w:eastAsia="zh-CN"/>
    </w:rPr>
  </w:style>
  <w:style w:type="character" w:customStyle="1" w:styleId="205">
    <w:name w:val="科东_正文 Char Char"/>
    <w:link w:val="206"/>
    <w:uiPriority w:val="0"/>
    <w:rPr>
      <w:kern w:val="2"/>
      <w:sz w:val="24"/>
    </w:rPr>
  </w:style>
  <w:style w:type="paragraph" w:customStyle="1" w:styleId="206">
    <w:name w:val="科东_正文"/>
    <w:basedOn w:val="1"/>
    <w:link w:val="205"/>
    <w:uiPriority w:val="0"/>
    <w:pPr>
      <w:spacing w:line="360" w:lineRule="auto"/>
      <w:ind w:firstLine="200" w:firstLineChars="200"/>
    </w:pPr>
    <w:rPr>
      <w:rFonts w:ascii="Calibri" w:hAnsi="Calibri"/>
      <w:sz w:val="24"/>
    </w:rPr>
  </w:style>
  <w:style w:type="character" w:customStyle="1" w:styleId="207">
    <w:name w:val="个人答复风格"/>
    <w:uiPriority w:val="0"/>
    <w:rPr>
      <w:rFonts w:ascii="Arial" w:hAnsi="Arial" w:eastAsia="宋体"/>
      <w:color w:val="auto"/>
      <w:sz w:val="20"/>
    </w:rPr>
  </w:style>
  <w:style w:type="character" w:customStyle="1" w:styleId="208">
    <w:name w:val="样式1 正文（首行缩进2字） Char + 首行缩进:  2 字符 段前: 0 行 Char Char"/>
    <w:link w:val="209"/>
    <w:uiPriority w:val="0"/>
    <w:rPr>
      <w:rFonts w:hAnsi="Arial"/>
      <w:kern w:val="2"/>
      <w:sz w:val="21"/>
    </w:rPr>
  </w:style>
  <w:style w:type="paragraph" w:customStyle="1" w:styleId="209">
    <w:name w:val="样式1 正文（首行缩进2字） Char + 首行缩进:  2 字符 段前: 0 行"/>
    <w:basedOn w:val="1"/>
    <w:next w:val="1"/>
    <w:link w:val="208"/>
    <w:uiPriority w:val="0"/>
    <w:pPr>
      <w:spacing w:line="276" w:lineRule="auto"/>
      <w:ind w:firstLine="420" w:firstLineChars="200"/>
    </w:pPr>
    <w:rPr>
      <w:rFonts w:ascii="Calibri" w:hAnsi="Arial"/>
    </w:rPr>
  </w:style>
  <w:style w:type="character" w:customStyle="1" w:styleId="210">
    <w:name w:val="样式 a首行缩进:  0 字符 段前: 0 行 + 黑体 Char Char"/>
    <w:link w:val="211"/>
    <w:uiPriority w:val="0"/>
    <w:rPr>
      <w:rFonts w:eastAsia="黑体"/>
      <w:sz w:val="21"/>
    </w:rPr>
  </w:style>
  <w:style w:type="paragraph" w:customStyle="1" w:styleId="211">
    <w:name w:val="样式 a首行缩进:  0 字符 段前: 0 行 + 黑体"/>
    <w:basedOn w:val="212"/>
    <w:link w:val="210"/>
    <w:uiPriority w:val="0"/>
    <w:rPr>
      <w:rFonts w:eastAsia="黑体"/>
    </w:rPr>
  </w:style>
  <w:style w:type="paragraph" w:customStyle="1" w:styleId="212">
    <w:name w:val="样式 a首行缩进:  2 字符 段前: 0 行"/>
    <w:basedOn w:val="1"/>
    <w:link w:val="213"/>
    <w:uiPriority w:val="0"/>
    <w:pPr>
      <w:adjustRightInd w:val="0"/>
      <w:spacing w:afterLines="50"/>
      <w:jc w:val="left"/>
      <w:textAlignment w:val="baseline"/>
    </w:pPr>
    <w:rPr>
      <w:rFonts w:ascii="Calibri" w:hAnsi="Calibri"/>
      <w:kern w:val="0"/>
    </w:rPr>
  </w:style>
  <w:style w:type="character" w:customStyle="1" w:styleId="213">
    <w:name w:val="样式 a首行缩进:  2 字符 段前: 0 行 Char Char"/>
    <w:link w:val="212"/>
    <w:uiPriority w:val="0"/>
    <w:rPr>
      <w:sz w:val="21"/>
    </w:rPr>
  </w:style>
  <w:style w:type="character" w:customStyle="1" w:styleId="214">
    <w:name w:val="朱2 Char Char"/>
    <w:basedOn w:val="168"/>
    <w:link w:val="215"/>
    <w:uiPriority w:val="0"/>
  </w:style>
  <w:style w:type="paragraph" w:customStyle="1" w:styleId="215">
    <w:name w:val="朱2"/>
    <w:basedOn w:val="167"/>
    <w:link w:val="214"/>
    <w:uiPriority w:val="0"/>
    <w:pPr>
      <w:topLinePunct/>
      <w:adjustRightInd w:val="0"/>
      <w:spacing w:line="312" w:lineRule="exact"/>
    </w:pPr>
  </w:style>
  <w:style w:type="character" w:customStyle="1" w:styleId="216">
    <w:name w:val="Lincer表格样式 Char Char"/>
    <w:link w:val="217"/>
    <w:uiPriority w:val="0"/>
    <w:rPr>
      <w:kern w:val="2"/>
      <w:sz w:val="21"/>
    </w:rPr>
  </w:style>
  <w:style w:type="paragraph" w:customStyle="1" w:styleId="217">
    <w:name w:val="Lincer表格样式"/>
    <w:basedOn w:val="1"/>
    <w:link w:val="216"/>
    <w:uiPriority w:val="0"/>
    <w:pPr>
      <w:ind w:left="344" w:hanging="344" w:hangingChars="164"/>
    </w:pPr>
    <w:rPr>
      <w:rFonts w:ascii="Calibri" w:hAnsi="Calibri"/>
    </w:rPr>
  </w:style>
  <w:style w:type="character" w:customStyle="1" w:styleId="218">
    <w:name w:val="Reference"/>
    <w:uiPriority w:val="0"/>
    <w:rPr>
      <w:rFonts w:ascii="Arial" w:hAnsi="Arial"/>
      <w:sz w:val="20"/>
      <w:lang w:val="en-US" w:eastAsia="zh-CN"/>
    </w:rPr>
  </w:style>
  <w:style w:type="character" w:customStyle="1" w:styleId="219">
    <w:name w:val="上标"/>
    <w:uiPriority w:val="0"/>
    <w:rPr>
      <w:b/>
      <w:vertAlign w:val="superscript"/>
    </w:rPr>
  </w:style>
  <w:style w:type="character" w:customStyle="1" w:styleId="220">
    <w:name w:val="正文文本 Char1 Char"/>
    <w:uiPriority w:val="0"/>
    <w:rPr>
      <w:rFonts w:ascii="Arial" w:hAnsi="Arial" w:eastAsia="宋体"/>
      <w:kern w:val="2"/>
      <w:sz w:val="18"/>
      <w:lang w:val="en-US" w:eastAsia="zh-CN"/>
    </w:rPr>
  </w:style>
  <w:style w:type="character" w:customStyle="1" w:styleId="221">
    <w:name w:val="附录标题2 Char Char"/>
    <w:link w:val="222"/>
    <w:uiPriority w:val="0"/>
    <w:rPr>
      <w:rFonts w:ascii="Arial" w:hAnsi="Arial" w:eastAsia="黑体"/>
      <w:kern w:val="2"/>
      <w:sz w:val="21"/>
    </w:rPr>
  </w:style>
  <w:style w:type="paragraph" w:customStyle="1" w:styleId="222">
    <w:name w:val="附录标题2"/>
    <w:basedOn w:val="4"/>
    <w:next w:val="73"/>
    <w:link w:val="221"/>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3">
    <w:name w:val="样式1 悬挂缩进: 4 字符 段前: 0.1 行，小五 Char Char"/>
    <w:link w:val="224"/>
    <w:uiPriority w:val="0"/>
    <w:rPr>
      <w:kern w:val="2"/>
      <w:sz w:val="18"/>
    </w:rPr>
  </w:style>
  <w:style w:type="paragraph" w:customStyle="1" w:styleId="224">
    <w:name w:val="样式1 悬挂缩进: 4 字符 段前: 0.1 行，小五"/>
    <w:basedOn w:val="1"/>
    <w:link w:val="223"/>
    <w:uiPriority w:val="0"/>
    <w:pPr>
      <w:spacing w:beforeLines="10" w:line="312" w:lineRule="auto"/>
      <w:ind w:left="400" w:leftChars="400"/>
    </w:pPr>
    <w:rPr>
      <w:rFonts w:ascii="Calibri" w:hAnsi="Calibri"/>
      <w:sz w:val="18"/>
    </w:rPr>
  </w:style>
  <w:style w:type="character" w:customStyle="1" w:styleId="225">
    <w:name w:val="附录三 Char Char"/>
    <w:link w:val="226"/>
    <w:uiPriority w:val="0"/>
    <w:rPr>
      <w:rFonts w:ascii="E-F1" w:eastAsia="黑体"/>
      <w:kern w:val="21"/>
      <w:sz w:val="21"/>
    </w:rPr>
  </w:style>
  <w:style w:type="paragraph" w:customStyle="1" w:styleId="226">
    <w:name w:val="附录三"/>
    <w:basedOn w:val="1"/>
    <w:link w:val="225"/>
    <w:uiPriority w:val="0"/>
    <w:pPr>
      <w:tabs>
        <w:tab w:val="center" w:pos="4706"/>
        <w:tab w:val="right" w:pos="9072"/>
      </w:tabs>
      <w:spacing w:before="120" w:after="60" w:line="312" w:lineRule="exact"/>
    </w:pPr>
    <w:rPr>
      <w:rFonts w:ascii="E-F1" w:hAnsi="Calibri" w:eastAsia="黑体"/>
      <w:kern w:val="21"/>
    </w:rPr>
  </w:style>
  <w:style w:type="character" w:customStyle="1" w:styleId="227">
    <w:name w:val="SoDA Field"/>
    <w:uiPriority w:val="0"/>
    <w:rPr>
      <w:color w:val="0000FF"/>
    </w:rPr>
  </w:style>
  <w:style w:type="character" w:customStyle="1" w:styleId="228">
    <w:name w:val="样式1 样式 标题 2 + 段前: 0行 Char Char"/>
    <w:uiPriority w:val="0"/>
    <w:rPr>
      <w:rFonts w:eastAsia="黑体"/>
      <w:b/>
      <w:kern w:val="2"/>
      <w:sz w:val="21"/>
      <w:lang w:val="en-US" w:eastAsia="zh-CN"/>
    </w:rPr>
  </w:style>
  <w:style w:type="character" w:customStyle="1" w:styleId="229">
    <w:name w:val="_标准条文 Char Char"/>
    <w:link w:val="230"/>
    <w:uiPriority w:val="0"/>
    <w:rPr>
      <w:rFonts w:ascii="Arial" w:hAnsi="Arial"/>
      <w:kern w:val="2"/>
      <w:sz w:val="21"/>
    </w:rPr>
  </w:style>
  <w:style w:type="paragraph" w:customStyle="1" w:styleId="230">
    <w:name w:val="_标准条文"/>
    <w:basedOn w:val="1"/>
    <w:link w:val="229"/>
    <w:uiPriority w:val="0"/>
    <w:pPr>
      <w:overflowPunct w:val="0"/>
      <w:snapToGrid w:val="0"/>
      <w:spacing w:line="276" w:lineRule="auto"/>
      <w:ind w:firstLine="420" w:firstLineChars="200"/>
    </w:pPr>
    <w:rPr>
      <w:rFonts w:ascii="Arial" w:hAnsi="Arial"/>
    </w:rPr>
  </w:style>
  <w:style w:type="character" w:customStyle="1" w:styleId="231">
    <w:name w:val="标语"/>
    <w:uiPriority w:val="0"/>
    <w:rPr>
      <w:i/>
      <w:spacing w:val="-6"/>
      <w:sz w:val="24"/>
    </w:rPr>
  </w:style>
  <w:style w:type="character" w:customStyle="1" w:styleId="232">
    <w:name w:val="short_text1"/>
    <w:uiPriority w:val="0"/>
    <w:rPr>
      <w:sz w:val="29"/>
    </w:rPr>
  </w:style>
  <w:style w:type="character" w:customStyle="1" w:styleId="233">
    <w:name w:val="H3 Char"/>
    <w:uiPriority w:val="0"/>
    <w:rPr>
      <w:rFonts w:eastAsia="宋体"/>
      <w:b/>
      <w:kern w:val="2"/>
      <w:sz w:val="32"/>
      <w:lang w:val="en-US" w:eastAsia="zh-CN"/>
    </w:rPr>
  </w:style>
  <w:style w:type="character" w:customStyle="1" w:styleId="234">
    <w:name w:val="样式 样式 样式 标题 2 + 段前: 0.1 行 + 段前: 0.1 行 + Times New Roman Char Char"/>
    <w:basedOn w:val="228"/>
    <w:link w:val="235"/>
    <w:uiPriority w:val="0"/>
  </w:style>
  <w:style w:type="paragraph" w:customStyle="1" w:styleId="235">
    <w:name w:val="样式 样式 样式 标题 2 + 段前: 0.1 行 + 段前: 0.1 行 + Times New Roman"/>
    <w:basedOn w:val="236"/>
    <w:link w:val="234"/>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36">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7">
    <w:name w:val="样式 目录 1 + 首行缩进:  0.74 厘米"/>
    <w:basedOn w:val="51"/>
    <w:uiPriority w:val="0"/>
    <w:pPr>
      <w:spacing w:beforeLines="10" w:line="312" w:lineRule="auto"/>
    </w:pPr>
    <w:rPr>
      <w:bCs w:val="0"/>
    </w:rPr>
  </w:style>
  <w:style w:type="paragraph" w:customStyle="1" w:styleId="238">
    <w:name w:val="三级无标题条"/>
    <w:basedOn w:val="1"/>
    <w:uiPriority w:val="0"/>
    <w:pPr>
      <w:numPr>
        <w:ilvl w:val="4"/>
        <w:numId w:val="2"/>
      </w:numPr>
    </w:pPr>
    <w:rPr>
      <w:b/>
    </w:rPr>
  </w:style>
  <w:style w:type="paragraph" w:customStyle="1" w:styleId="239">
    <w:name w:val="样式 样式 正文文本 2 + 段前: 0.1 行 + 悬挂缩进: 0.03 字符 段后: 1.2 磅 行距: 单倍行距"/>
    <w:basedOn w:val="240"/>
    <w:uiPriority w:val="0"/>
  </w:style>
  <w:style w:type="paragraph" w:customStyle="1" w:styleId="240">
    <w:name w:val="样式 正文文本 2 + 段前: 0.1 行"/>
    <w:basedOn w:val="66"/>
    <w:uiPriority w:val="0"/>
    <w:pPr>
      <w:spacing w:beforeLines="10" w:after="0" w:line="264" w:lineRule="auto"/>
      <w:jc w:val="left"/>
    </w:pPr>
    <w:rPr>
      <w:sz w:val="18"/>
    </w:rPr>
  </w:style>
  <w:style w:type="paragraph" w:customStyle="1" w:styleId="241">
    <w:name w:val="样式 正文（首行缩进两字） Char + 黑色 首行缩进:  2 字符 段前: 0.1 行"/>
    <w:basedOn w:val="200"/>
    <w:uiPriority w:val="0"/>
    <w:pPr>
      <w:spacing w:before="24" w:afterLines="10"/>
      <w:ind w:firstLine="200"/>
    </w:pPr>
    <w:rPr>
      <w:color w:val="000000"/>
    </w:rPr>
  </w:style>
  <w:style w:type="paragraph" w:customStyle="1" w:styleId="242">
    <w:name w:val="四级无标题条"/>
    <w:basedOn w:val="1"/>
    <w:uiPriority w:val="0"/>
    <w:pPr>
      <w:numPr>
        <w:ilvl w:val="5"/>
        <w:numId w:val="2"/>
      </w:numPr>
    </w:pPr>
    <w:rPr>
      <w:rFonts w:eastAsia="黑体"/>
      <w:b/>
    </w:rPr>
  </w:style>
  <w:style w:type="paragraph" w:customStyle="1" w:styleId="243">
    <w:name w:val="封面标准文稿类别"/>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44">
    <w:name w:val="图片"/>
    <w:basedOn w:val="1"/>
    <w:uiPriority w:val="0"/>
    <w:pPr>
      <w:topLinePunct/>
      <w:snapToGrid w:val="0"/>
      <w:spacing w:before="160" w:after="60"/>
      <w:jc w:val="center"/>
    </w:pPr>
  </w:style>
  <w:style w:type="paragraph" w:customStyle="1" w:styleId="245">
    <w:name w:val="标准书脚_偶数页"/>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46">
    <w:name w:val="样式1 样式 标题 5 + 段前: 0 行"/>
    <w:basedOn w:val="247"/>
    <w:next w:val="1"/>
    <w:uiPriority w:val="0"/>
    <w:pPr>
      <w:tabs>
        <w:tab w:val="left" w:pos="0"/>
        <w:tab w:val="left" w:pos="210"/>
        <w:tab w:val="left" w:pos="1050"/>
        <w:tab w:val="left" w:pos="1080"/>
      </w:tabs>
      <w:spacing w:beforeLines="0" w:line="276" w:lineRule="auto"/>
    </w:pPr>
  </w:style>
  <w:style w:type="paragraph" w:customStyle="1" w:styleId="247">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8">
    <w:name w:val="样式 正文（首行缩进两字） Char + 首行缩进:  2 字符"/>
    <w:basedOn w:val="200"/>
    <w:uiPriority w:val="0"/>
    <w:pPr>
      <w:spacing w:afterLines="10"/>
      <w:ind w:firstLine="200"/>
      <w:jc w:val="center"/>
    </w:pPr>
    <w:rPr>
      <w:b/>
    </w:rPr>
  </w:style>
  <w:style w:type="paragraph" w:customStyle="1" w:styleId="249">
    <w:name w:val="样式 首行缩进:  0 厘米 行距: 单倍行距"/>
    <w:basedOn w:val="1"/>
    <w:uiPriority w:val="0"/>
    <w:pPr>
      <w:adjustRightInd w:val="0"/>
      <w:textAlignment w:val="baseline"/>
    </w:pPr>
    <w:rPr>
      <w:kern w:val="0"/>
    </w:rPr>
  </w:style>
  <w:style w:type="paragraph" w:customStyle="1" w:styleId="250">
    <w:name w:val="样式 样式 样式 首行缩进:  0.77 厘米 段前: 0.1 行 + 首行缩进:  2 字符 段前: 0.1 行 + 首行缩进..."/>
    <w:basedOn w:val="251"/>
    <w:uiPriority w:val="0"/>
    <w:pPr>
      <w:ind w:firstLine="420"/>
    </w:pPr>
  </w:style>
  <w:style w:type="paragraph" w:customStyle="1" w:styleId="251">
    <w:name w:val="样式 样式 首行缩进:  0.77 厘米 段前: 0.1 行 + 首行缩进:  2 字符 段前: 0.1 行"/>
    <w:basedOn w:val="1"/>
    <w:uiPriority w:val="0"/>
    <w:pPr>
      <w:spacing w:line="276" w:lineRule="auto"/>
      <w:ind w:firstLine="200" w:firstLineChars="200"/>
    </w:pPr>
  </w:style>
  <w:style w:type="paragraph" w:customStyle="1" w:styleId="252">
    <w:name w:val="术语定义三级条标题"/>
    <w:basedOn w:val="253"/>
    <w:next w:val="161"/>
    <w:uiPriority w:val="0"/>
    <w:pPr>
      <w:tabs>
        <w:tab w:val="left" w:pos="420"/>
        <w:tab w:val="left" w:pos="735"/>
        <w:tab w:val="left" w:pos="1575"/>
      </w:tabs>
      <w:ind w:left="1575"/>
    </w:pPr>
  </w:style>
  <w:style w:type="paragraph" w:customStyle="1" w:styleId="253">
    <w:name w:val="术语定义条标题"/>
    <w:basedOn w:val="254"/>
    <w:next w:val="16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4">
    <w:name w:val="章标题"/>
    <w:next w:val="161"/>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5">
    <w:name w:val="其他发布部门"/>
    <w:basedOn w:val="256"/>
    <w:uiPriority w:val="0"/>
    <w:pPr>
      <w:spacing w:line="0" w:lineRule="atLeast"/>
    </w:pPr>
    <w:rPr>
      <w:rFonts w:ascii="黑体" w:eastAsia="黑体"/>
      <w:b w:val="0"/>
    </w:rPr>
  </w:style>
  <w:style w:type="paragraph" w:customStyle="1" w:styleId="256">
    <w:name w:val="发布部门"/>
    <w:next w:val="161"/>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7">
    <w:name w:val="PARAGRAPH"/>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258">
    <w:name w:val="正文文字样式"/>
    <w:basedOn w:val="1"/>
    <w:uiPriority w:val="0"/>
    <w:pPr>
      <w:spacing w:line="480" w:lineRule="exact"/>
      <w:ind w:firstLine="480" w:firstLineChars="200"/>
    </w:pPr>
    <w:rPr>
      <w:sz w:val="24"/>
    </w:rPr>
  </w:style>
  <w:style w:type="paragraph" w:customStyle="1" w:styleId="259">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60">
    <w:name w:val="朱1"/>
    <w:basedOn w:val="163"/>
    <w:uiPriority w:val="0"/>
  </w:style>
  <w:style w:type="paragraph" w:customStyle="1" w:styleId="261">
    <w:name w:val="CM40"/>
    <w:basedOn w:val="262"/>
    <w:next w:val="262"/>
    <w:uiPriority w:val="0"/>
    <w:pPr>
      <w:spacing w:line="320" w:lineRule="atLeast"/>
    </w:pPr>
    <w:rPr>
      <w:rFonts w:ascii="Times New Roman"/>
      <w:color w:val="auto"/>
    </w:rPr>
  </w:style>
  <w:style w:type="paragraph" w:customStyle="1" w:styleId="262">
    <w:name w:val="Defaul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3">
    <w:name w:val="样式1 样式 编号 a + Times New Roman 段前: 0 行 行距: 多倍行距 1.15 字行 + 左侧... + ..."/>
    <w:basedOn w:val="264"/>
    <w:uiPriority w:val="0"/>
    <w:pPr>
      <w:spacing w:before="0" w:afterLines="0"/>
      <w:ind w:left="620" w:hanging="200" w:hangingChars="200"/>
    </w:pPr>
  </w:style>
  <w:style w:type="paragraph" w:customStyle="1" w:styleId="264">
    <w:name w:val="样式 编号 a + Times New Roman 段前: 0 行 行距: 多倍行距 1.15 字行 + 左侧..."/>
    <w:basedOn w:val="200"/>
    <w:next w:val="265"/>
    <w:uiPriority w:val="0"/>
    <w:pPr>
      <w:spacing w:before="24" w:afterLines="10"/>
      <w:ind w:firstLine="0" w:firstLineChars="0"/>
    </w:pPr>
  </w:style>
  <w:style w:type="paragraph" w:customStyle="1" w:styleId="265">
    <w:name w:val="样式1-4 Times New Roman行距: 多倍行距 1.15 字行 + 左侧:  4 字符"/>
    <w:basedOn w:val="266"/>
    <w:uiPriority w:val="0"/>
    <w:pPr>
      <w:tabs>
        <w:tab w:val="left" w:pos="315"/>
      </w:tabs>
      <w:ind w:left="840" w:leftChars="400"/>
    </w:pPr>
  </w:style>
  <w:style w:type="paragraph" w:customStyle="1" w:styleId="266">
    <w:name w:val="样式 Times New Roman 段前: 0.1 行 行距: 多倍行距 1.2 字行"/>
    <w:basedOn w:val="1"/>
    <w:uiPriority w:val="0"/>
    <w:pPr>
      <w:spacing w:line="276" w:lineRule="auto"/>
      <w:ind w:left="420" w:leftChars="200"/>
    </w:pPr>
  </w:style>
  <w:style w:type="paragraph" w:customStyle="1" w:styleId="267">
    <w:name w:val="图表脚注"/>
    <w:next w:val="161"/>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268">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9">
    <w:name w:val="图说"/>
    <w:basedOn w:val="1"/>
    <w:uiPriority w:val="0"/>
    <w:pPr>
      <w:topLinePunct/>
      <w:spacing w:before="60" w:after="160"/>
      <w:jc w:val="center"/>
    </w:pPr>
    <w:rPr>
      <w:sz w:val="18"/>
    </w:rPr>
  </w:style>
  <w:style w:type="paragraph" w:customStyle="1" w:styleId="270">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7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72">
    <w:name w:val="默认段落字体 Para Char Char Char Char"/>
    <w:basedOn w:val="1"/>
    <w:uiPriority w:val="0"/>
  </w:style>
  <w:style w:type="paragraph" w:customStyle="1" w:styleId="273">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4">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75">
    <w:name w:val="正文_配电_小四"/>
    <w:basedOn w:val="1"/>
    <w:uiPriority w:val="0"/>
    <w:pPr>
      <w:spacing w:line="360" w:lineRule="auto"/>
      <w:ind w:firstLine="200" w:firstLineChars="200"/>
    </w:pPr>
    <w:rPr>
      <w:rFonts w:ascii="宋体" w:hAnsi="宋体"/>
      <w:kern w:val="0"/>
      <w:sz w:val="24"/>
    </w:rPr>
  </w:style>
  <w:style w:type="paragraph" w:customStyle="1" w:styleId="276">
    <w:name w:val="样式1 标题 3 + 段前: 0.1 行 + 段前: 0.1 行 + 段前: 0.5 行 段后: 0.5 行"/>
    <w:basedOn w:val="277"/>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7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78">
    <w:name w:val="CM64"/>
    <w:basedOn w:val="262"/>
    <w:next w:val="262"/>
    <w:uiPriority w:val="0"/>
    <w:rPr>
      <w:rFonts w:ascii="Times New Roman"/>
      <w:color w:val="auto"/>
    </w:rPr>
  </w:style>
  <w:style w:type="paragraph" w:customStyle="1" w:styleId="279">
    <w:name w:val="a"/>
    <w:basedOn w:val="280"/>
    <w:uiPriority w:val="0"/>
    <w:pPr>
      <w:tabs>
        <w:tab w:val="left" w:pos="210"/>
        <w:tab w:val="left" w:pos="780"/>
      </w:tabs>
      <w:spacing w:beforeLines="0" w:afterLines="0" w:line="240" w:lineRule="auto"/>
    </w:pPr>
    <w:rPr>
      <w:b w:val="0"/>
      <w:sz w:val="30"/>
    </w:rPr>
  </w:style>
  <w:style w:type="paragraph" w:customStyle="1" w:styleId="28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282">
    <w:name w:val="a.a.a"/>
    <w:basedOn w:val="1"/>
    <w:uiPriority w:val="0"/>
    <w:pPr>
      <w:spacing w:beforeLines="50" w:afterLines="50"/>
      <w:jc w:val="left"/>
      <w:outlineLvl w:val="2"/>
    </w:pPr>
    <w:rPr>
      <w:rFonts w:ascii="黑体" w:hAnsi="宋体" w:eastAsia="黑体"/>
      <w:sz w:val="24"/>
    </w:rPr>
  </w:style>
  <w:style w:type="paragraph" w:customStyle="1" w:styleId="283">
    <w:name w:val="副标题1"/>
    <w:basedOn w:val="57"/>
    <w:next w:val="1"/>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uiPriority w:val="0"/>
    <w:pPr>
      <w:spacing w:line="276" w:lineRule="auto"/>
      <w:ind w:firstLine="420"/>
    </w:pPr>
  </w:style>
  <w:style w:type="paragraph" w:customStyle="1" w:styleId="285">
    <w:name w:val="样式 段前: 0.1 行 首行缩进:  2 字符"/>
    <w:basedOn w:val="1"/>
    <w:uiPriority w:val="0"/>
    <w:pPr>
      <w:spacing w:beforeLines="10" w:line="300" w:lineRule="auto"/>
      <w:ind w:firstLine="200" w:firstLineChars="200"/>
    </w:pPr>
  </w:style>
  <w:style w:type="paragraph" w:customStyle="1" w:styleId="286">
    <w:name w:val="正文正式1"/>
    <w:basedOn w:val="1"/>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uiPriority w:val="0"/>
    <w:pPr>
      <w:tabs>
        <w:tab w:val="left" w:pos="360"/>
        <w:tab w:val="left" w:pos="1021"/>
      </w:tabs>
      <w:spacing w:beforeLines="100" w:afterLines="100"/>
    </w:pPr>
  </w:style>
  <w:style w:type="paragraph" w:customStyle="1" w:styleId="28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uiPriority w:val="0"/>
    <w:pPr>
      <w:spacing w:line="276" w:lineRule="auto"/>
    </w:pPr>
  </w:style>
  <w:style w:type="paragraph" w:customStyle="1" w:styleId="291">
    <w:name w:val="工程建设图标题"/>
    <w:basedOn w:val="292"/>
    <w:uiPriority w:val="0"/>
    <w:pPr>
      <w:numPr>
        <w:ilvl w:val="5"/>
        <w:numId w:val="3"/>
      </w:numPr>
      <w:tabs>
        <w:tab w:val="left" w:pos="1260"/>
        <w:tab w:val="left" w:pos="1680"/>
        <w:tab w:val="left" w:pos="2100"/>
      </w:tabs>
      <w:ind w:leftChars="0" w:firstLineChars="0"/>
      <w:jc w:val="center"/>
      <w:outlineLvl w:val="5"/>
    </w:pPr>
  </w:style>
  <w:style w:type="paragraph" w:customStyle="1" w:styleId="292">
    <w:name w:val="工程建设条标题"/>
    <w:basedOn w:val="293"/>
    <w:next w:val="161"/>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93">
    <w:name w:val="工程建设节标题"/>
    <w:basedOn w:val="294"/>
    <w:next w:val="161"/>
    <w:uiPriority w:val="0"/>
    <w:pPr>
      <w:numPr>
        <w:ilvl w:val="2"/>
        <w:numId w:val="3"/>
      </w:numPr>
      <w:tabs>
        <w:tab w:val="left" w:pos="1260"/>
      </w:tabs>
      <w:spacing w:before="400" w:after="400" w:line="240" w:lineRule="auto"/>
      <w:ind w:leftChars="0" w:firstLineChars="0"/>
      <w:outlineLvl w:val="2"/>
    </w:pPr>
    <w:rPr>
      <w:sz w:val="21"/>
    </w:rPr>
  </w:style>
  <w:style w:type="paragraph" w:customStyle="1" w:styleId="294">
    <w:name w:val="工程建设章标题"/>
    <w:next w:val="161"/>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95">
    <w:name w:val="样式 标题 2H2h2h21Heading 2 HiddenHeading 2 CCBSheading 2l2C..."/>
    <w:basedOn w:val="3"/>
    <w:next w:val="280"/>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97">
    <w:name w:val="_列项符号2"/>
    <w:basedOn w:val="24"/>
    <w:uiPriority w:val="0"/>
    <w:pPr>
      <w:tabs>
        <w:tab w:val="left" w:pos="820"/>
      </w:tabs>
      <w:snapToGrid w:val="0"/>
      <w:spacing w:line="276" w:lineRule="auto"/>
      <w:ind w:left="820" w:hanging="420"/>
    </w:pPr>
  </w:style>
  <w:style w:type="paragraph" w:customStyle="1" w:styleId="298">
    <w:name w:val="自控1"/>
    <w:basedOn w:val="161"/>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uiPriority w:val="0"/>
    <w:pPr>
      <w:numPr>
        <w:ilvl w:val="4"/>
        <w:numId w:val="3"/>
      </w:numPr>
      <w:jc w:val="center"/>
      <w:outlineLvl w:val="4"/>
    </w:pPr>
  </w:style>
  <w:style w:type="paragraph" w:customStyle="1" w:styleId="300">
    <w:name w:val="题目封页"/>
    <w:basedOn w:val="301"/>
    <w:next w:val="302"/>
    <w:uiPriority w:val="0"/>
    <w:pPr>
      <w:spacing w:before="1800" w:line="240" w:lineRule="atLeast"/>
      <w:jc w:val="center"/>
    </w:pPr>
    <w:rPr>
      <w:rFonts w:ascii="黑体" w:eastAsia="黑体"/>
      <w:b/>
      <w:spacing w:val="0"/>
      <w:sz w:val="52"/>
    </w:rPr>
  </w:style>
  <w:style w:type="paragraph" w:customStyle="1" w:styleId="301">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uiPriority w:val="0"/>
    <w:pPr>
      <w:spacing w:beforeLines="0" w:line="276" w:lineRule="auto"/>
      <w:ind w:left="420"/>
    </w:pPr>
  </w:style>
  <w:style w:type="paragraph" w:customStyle="1" w:styleId="304">
    <w:name w:val="样式 样式 段前: 0.1 行 + 段前: 0.1 行"/>
    <w:basedOn w:val="305"/>
    <w:uiPriority w:val="0"/>
    <w:pPr>
      <w:ind w:left="200" w:leftChars="200"/>
    </w:pPr>
  </w:style>
  <w:style w:type="paragraph" w:customStyle="1" w:styleId="305">
    <w:name w:val="样式 段前: 0.1 行"/>
    <w:basedOn w:val="1"/>
    <w:uiPriority w:val="0"/>
    <w:pPr>
      <w:spacing w:beforeLines="10" w:line="300" w:lineRule="auto"/>
    </w:pPr>
  </w:style>
  <w:style w:type="paragraph" w:customStyle="1" w:styleId="306">
    <w:name w:val="附录五级条标题"/>
    <w:basedOn w:val="307"/>
    <w:next w:val="161"/>
    <w:uiPriority w:val="0"/>
    <w:pPr>
      <w:outlineLvl w:val="6"/>
    </w:pPr>
  </w:style>
  <w:style w:type="paragraph" w:customStyle="1" w:styleId="307">
    <w:name w:val="附录四级条标题"/>
    <w:basedOn w:val="308"/>
    <w:next w:val="161"/>
    <w:uiPriority w:val="0"/>
    <w:pPr>
      <w:outlineLvl w:val="5"/>
    </w:pPr>
  </w:style>
  <w:style w:type="paragraph" w:customStyle="1" w:styleId="308">
    <w:name w:val="附录三级条标题"/>
    <w:basedOn w:val="309"/>
    <w:next w:val="161"/>
    <w:uiPriority w:val="0"/>
    <w:pPr>
      <w:outlineLvl w:val="4"/>
    </w:pPr>
  </w:style>
  <w:style w:type="paragraph" w:customStyle="1" w:styleId="309">
    <w:name w:val="附录二级条标题"/>
    <w:basedOn w:val="310"/>
    <w:next w:val="161"/>
    <w:uiPriority w:val="0"/>
    <w:pPr>
      <w:outlineLvl w:val="3"/>
    </w:pPr>
  </w:style>
  <w:style w:type="paragraph" w:customStyle="1" w:styleId="310">
    <w:name w:val="附录一级条标题"/>
    <w:basedOn w:val="311"/>
    <w:next w:val="161"/>
    <w:uiPriority w:val="0"/>
    <w:pPr>
      <w:autoSpaceDN w:val="0"/>
      <w:spacing w:beforeLines="0" w:afterLines="0"/>
      <w:outlineLvl w:val="2"/>
    </w:pPr>
  </w:style>
  <w:style w:type="paragraph" w:customStyle="1" w:styleId="311">
    <w:name w:val="附录章标题"/>
    <w:next w:val="161"/>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31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3">
    <w:name w:val="标准书眉_偶数页"/>
    <w:basedOn w:val="314"/>
    <w:next w:val="1"/>
    <w:uiPriority w:val="0"/>
    <w:pPr>
      <w:tabs>
        <w:tab w:val="center" w:pos="4154"/>
        <w:tab w:val="right" w:pos="8306"/>
      </w:tabs>
      <w:jc w:val="left"/>
    </w:pPr>
  </w:style>
  <w:style w:type="paragraph" w:customStyle="1" w:styleId="314">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15">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16">
    <w:name w:val="引言二级条标题"/>
    <w:basedOn w:val="317"/>
    <w:next w:val="161"/>
    <w:uiPriority w:val="0"/>
    <w:pPr>
      <w:numPr>
        <w:ilvl w:val="1"/>
        <w:numId w:val="5"/>
      </w:numPr>
      <w:tabs>
        <w:tab w:val="left" w:pos="1260"/>
      </w:tabs>
      <w:ind w:leftChars="0" w:firstLineChars="0"/>
    </w:pPr>
  </w:style>
  <w:style w:type="paragraph" w:customStyle="1" w:styleId="317">
    <w:name w:val="引言一级条标题"/>
    <w:basedOn w:val="1"/>
    <w:next w:val="161"/>
    <w:uiPriority w:val="0"/>
    <w:pPr>
      <w:widowControl/>
      <w:numPr>
        <w:ilvl w:val="0"/>
        <w:numId w:val="6"/>
      </w:numPr>
    </w:pPr>
    <w:rPr>
      <w:rFonts w:eastAsia="黑体"/>
      <w:b/>
    </w:rPr>
  </w:style>
  <w:style w:type="paragraph" w:customStyle="1" w:styleId="318">
    <w:name w:val="1"/>
    <w:basedOn w:val="1"/>
    <w:next w:val="1"/>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uiPriority w:val="0"/>
    <w:pPr>
      <w:spacing w:line="276" w:lineRule="auto"/>
    </w:pPr>
  </w:style>
  <w:style w:type="paragraph" w:customStyle="1" w:styleId="32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21">
    <w:name w:val="Char Char1 Char Char Char"/>
    <w:basedOn w:val="25"/>
    <w:qFormat/>
    <w:uiPriority w:val="0"/>
  </w:style>
  <w:style w:type="paragraph" w:customStyle="1" w:styleId="322">
    <w:name w:val="样式1 正文文本 小五 + Times New Roman 段前: 0 行 行距: 多倍行距 1.15 字行"/>
    <w:basedOn w:val="66"/>
    <w:uiPriority w:val="0"/>
    <w:pPr>
      <w:spacing w:afterLines="20" w:line="276" w:lineRule="auto"/>
      <w:jc w:val="center"/>
    </w:pPr>
    <w:rPr>
      <w:sz w:val="18"/>
    </w:rPr>
  </w:style>
  <w:style w:type="paragraph" w:customStyle="1" w:styleId="323">
    <w:name w:val="_图表编号"/>
    <w:basedOn w:val="22"/>
    <w:next w:val="230"/>
    <w:uiPriority w:val="0"/>
    <w:pPr>
      <w:snapToGrid w:val="0"/>
      <w:spacing w:beforeLines="15" w:afterLines="15"/>
      <w:jc w:val="center"/>
    </w:pPr>
    <w:rPr>
      <w:sz w:val="21"/>
    </w:rPr>
  </w:style>
  <w:style w:type="paragraph" w:customStyle="1" w:styleId="324">
    <w:name w:val="四级条标题"/>
    <w:basedOn w:val="325"/>
    <w:next w:val="161"/>
    <w:uiPriority w:val="0"/>
    <w:pPr>
      <w:tabs>
        <w:tab w:val="left" w:pos="-1080"/>
      </w:tabs>
      <w:outlineLvl w:val="5"/>
    </w:pPr>
  </w:style>
  <w:style w:type="paragraph" w:customStyle="1" w:styleId="325">
    <w:name w:val="三级条标题"/>
    <w:basedOn w:val="173"/>
    <w:next w:val="161"/>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uiPriority w:val="0"/>
    <w:pPr>
      <w:spacing w:line="276" w:lineRule="auto"/>
      <w:ind w:left="420"/>
    </w:pPr>
    <w:rPr>
      <w:rFonts w:ascii="宋体"/>
    </w:rPr>
  </w:style>
  <w:style w:type="paragraph" w:customStyle="1" w:styleId="329">
    <w:name w:val="样式 样式 段前: 0.1 行 首行缩进:  2 字符 + 首行缩进:  2 字符 段前: 0.1 行1"/>
    <w:basedOn w:val="285"/>
    <w:uiPriority w:val="0"/>
    <w:pPr>
      <w:spacing w:beforeLines="0" w:line="276" w:lineRule="auto"/>
      <w:ind w:firstLine="420"/>
    </w:pPr>
  </w:style>
  <w:style w:type="paragraph" w:customStyle="1" w:styleId="330">
    <w:name w:val="一级无标题条"/>
    <w:basedOn w:val="1"/>
    <w:uiPriority w:val="0"/>
    <w:pPr>
      <w:numPr>
        <w:ilvl w:val="2"/>
        <w:numId w:val="2"/>
      </w:numPr>
      <w:tabs>
        <w:tab w:val="left" w:pos="420"/>
      </w:tabs>
    </w:pPr>
    <w:rPr>
      <w:b/>
    </w:rPr>
  </w:style>
  <w:style w:type="paragraph" w:customStyle="1" w:styleId="331">
    <w:name w:val="_列项符号1"/>
    <w:basedOn w:val="24"/>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uiPriority w:val="0"/>
    <w:pPr>
      <w:spacing w:beforeLines="0" w:line="276" w:lineRule="auto"/>
    </w:pPr>
    <w:rPr>
      <w:color w:val="000000"/>
    </w:rPr>
  </w:style>
  <w:style w:type="paragraph" w:customStyle="1" w:styleId="33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41">
    <w:name w:val="目次、标准名称标题"/>
    <w:basedOn w:val="271"/>
    <w:next w:val="161"/>
    <w:uiPriority w:val="0"/>
    <w:pPr>
      <w:spacing w:line="460" w:lineRule="exact"/>
    </w:pPr>
  </w:style>
  <w:style w:type="paragraph" w:customStyle="1" w:styleId="342">
    <w:name w:val="封面标准号2"/>
    <w:basedOn w:val="343"/>
    <w:uiPriority w:val="0"/>
    <w:pPr>
      <w:spacing w:before="357" w:line="280" w:lineRule="exact"/>
    </w:pPr>
  </w:style>
  <w:style w:type="paragraph" w:customStyle="1" w:styleId="343">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4">
    <w:name w:val="样式 样式 标题 6 + 段前: 0.1 行 + Times New Roman"/>
    <w:basedOn w:val="345"/>
    <w:uiPriority w:val="0"/>
    <w:pPr>
      <w:keepLines w:val="0"/>
      <w:tabs>
        <w:tab w:val="left" w:pos="210"/>
      </w:tabs>
      <w:spacing w:beforeLines="0" w:line="276" w:lineRule="auto"/>
    </w:pPr>
  </w:style>
  <w:style w:type="paragraph" w:customStyle="1" w:styleId="34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48">
    <w:name w:val="无标题条"/>
    <w:next w:val="161"/>
    <w:uiPriority w:val="0"/>
    <w:pPr>
      <w:jc w:val="both"/>
    </w:pPr>
    <w:rPr>
      <w:rFonts w:ascii="Times New Roman" w:hAnsi="Times New Roman" w:eastAsia="宋体" w:cs="Times New Roman"/>
      <w:sz w:val="21"/>
      <w:lang w:val="en-US" w:eastAsia="zh-CN" w:bidi="ar-SA"/>
    </w:rPr>
  </w:style>
  <w:style w:type="paragraph" w:customStyle="1" w:styleId="349">
    <w:name w:val="朱公式"/>
    <w:basedOn w:val="200"/>
    <w:uiPriority w:val="0"/>
    <w:pPr>
      <w:tabs>
        <w:tab w:val="center" w:pos="4763"/>
        <w:tab w:val="right" w:pos="9412"/>
      </w:tabs>
    </w:pPr>
    <w:rPr>
      <w:kern w:val="21"/>
    </w:rPr>
  </w:style>
  <w:style w:type="paragraph" w:customStyle="1" w:styleId="350">
    <w:name w:val="副标题2"/>
    <w:basedOn w:val="1"/>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200"/>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36"/>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uiPriority w:val="0"/>
    <w:pPr>
      <w:tabs>
        <w:tab w:val="left" w:pos="420"/>
      </w:tabs>
      <w:jc w:val="center"/>
    </w:pPr>
    <w:rPr>
      <w:rFonts w:ascii="黑体" w:eastAsia="黑体"/>
    </w:rPr>
  </w:style>
  <w:style w:type="paragraph" w:customStyle="1" w:styleId="354">
    <w:name w:val="_附录编号标题"/>
    <w:basedOn w:val="1"/>
    <w:next w:val="355"/>
    <w:uiPriority w:val="0"/>
    <w:pPr>
      <w:snapToGrid w:val="0"/>
      <w:spacing w:before="567"/>
      <w:jc w:val="center"/>
    </w:pPr>
    <w:rPr>
      <w:rFonts w:ascii="Arial" w:hAnsi="Arial" w:eastAsia="黑体"/>
      <w:color w:val="000000"/>
    </w:rPr>
  </w:style>
  <w:style w:type="paragraph" w:customStyle="1" w:styleId="355">
    <w:name w:val="附录标题1"/>
    <w:basedOn w:val="3"/>
    <w:next w:val="222"/>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9"/>
    <w:uiPriority w:val="0"/>
    <w:pPr>
      <w:spacing w:line="312" w:lineRule="exact"/>
    </w:pPr>
    <w:rPr>
      <w:rFonts w:ascii="EU-F1" w:eastAsia="黑体"/>
      <w:sz w:val="21"/>
    </w:rPr>
  </w:style>
  <w:style w:type="paragraph" w:customStyle="1" w:styleId="35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uiPriority w:val="0"/>
    <w:pPr>
      <w:tabs>
        <w:tab w:val="left" w:pos="800"/>
      </w:tabs>
      <w:snapToGrid w:val="0"/>
      <w:spacing w:beforeLines="0" w:line="276" w:lineRule="auto"/>
      <w:ind w:left="800" w:hanging="400"/>
    </w:pPr>
  </w:style>
  <w:style w:type="paragraph" w:customStyle="1" w:styleId="359">
    <w:name w:val="注：（正文）"/>
    <w:basedOn w:val="175"/>
    <w:next w:val="161"/>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200"/>
    <w:next w:val="200"/>
    <w:uiPriority w:val="0"/>
    <w:pPr>
      <w:tabs>
        <w:tab w:val="left" w:pos="820"/>
      </w:tabs>
      <w:spacing w:afterLines="10"/>
      <w:ind w:left="820" w:hanging="420" w:firstLineChars="0"/>
    </w:pPr>
    <w:rPr>
      <w:kern w:val="0"/>
    </w:rPr>
  </w:style>
  <w:style w:type="paragraph" w:customStyle="1" w:styleId="361">
    <w:name w:val="样式 标题 5 + 黑色 段前: 1.2 磅"/>
    <w:basedOn w:val="1"/>
    <w:uiPriority w:val="0"/>
    <w:pPr>
      <w:tabs>
        <w:tab w:val="left" w:pos="1200"/>
      </w:tabs>
      <w:spacing w:line="300" w:lineRule="auto"/>
    </w:pPr>
    <w:rPr>
      <w:rFonts w:ascii="Arial" w:hAnsi="Arial"/>
    </w:rPr>
  </w:style>
  <w:style w:type="paragraph" w:customStyle="1" w:styleId="362">
    <w:name w:val="列项·"/>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6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64">
    <w:name w:val="其他标准称谓"/>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uiPriority w:val="0"/>
    <w:pPr>
      <w:numPr>
        <w:ilvl w:val="2"/>
        <w:numId w:val="4"/>
      </w:numPr>
      <w:tabs>
        <w:tab w:val="left" w:pos="280"/>
        <w:tab w:val="left" w:pos="1866"/>
        <w:tab w:val="clear" w:pos="1890"/>
      </w:tabs>
    </w:pPr>
  </w:style>
  <w:style w:type="paragraph" w:customStyle="1" w:styleId="36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36"/>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uiPriority w:val="0"/>
  </w:style>
  <w:style w:type="paragraph" w:customStyle="1" w:styleId="371">
    <w:name w:val="样式 正文（首行缩进两字） Char + 首行缩进:  2 字符 段前: 0.1 行"/>
    <w:basedOn w:val="200"/>
    <w:uiPriority w:val="0"/>
    <w:pPr>
      <w:spacing w:afterLines="10" w:line="300" w:lineRule="auto"/>
      <w:ind w:firstLine="200"/>
    </w:pPr>
  </w:style>
  <w:style w:type="paragraph" w:customStyle="1" w:styleId="372">
    <w:name w:val="公司名"/>
    <w:basedOn w:val="373"/>
    <w:uiPriority w:val="0"/>
    <w:pPr>
      <w:spacing w:before="0"/>
    </w:pPr>
  </w:style>
  <w:style w:type="paragraph" w:customStyle="1" w:styleId="373">
    <w:name w:val="_标准名称"/>
    <w:basedOn w:val="1"/>
    <w:next w:val="30"/>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40"/>
    <w:uiPriority w:val="0"/>
    <w:pPr>
      <w:spacing w:beforeLines="0" w:line="240" w:lineRule="auto"/>
      <w:jc w:val="center"/>
    </w:pPr>
  </w:style>
  <w:style w:type="paragraph" w:customStyle="1" w:styleId="375">
    <w:name w:val="公式"/>
    <w:basedOn w:val="41"/>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40"/>
    <w:uiPriority w:val="0"/>
    <w:pPr>
      <w:spacing w:beforeLines="0" w:afterLines="10" w:line="240" w:lineRule="auto"/>
      <w:ind w:left="2" w:leftChars="-11" w:hanging="13" w:hangingChars="13"/>
    </w:pPr>
  </w:style>
  <w:style w:type="paragraph" w:customStyle="1" w:styleId="377">
    <w:name w:val="_列表编号2"/>
    <w:basedOn w:val="20"/>
    <w:uiPriority w:val="0"/>
    <w:pPr>
      <w:tabs>
        <w:tab w:val="left" w:pos="1200"/>
      </w:tabs>
      <w:snapToGrid w:val="0"/>
      <w:spacing w:beforeLines="0" w:line="276" w:lineRule="auto"/>
      <w:ind w:left="1200" w:hanging="400"/>
    </w:pPr>
  </w:style>
  <w:style w:type="paragraph" w:customStyle="1" w:styleId="378">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80">
    <w:name w:val="五级条标题"/>
    <w:basedOn w:val="324"/>
    <w:next w:val="161"/>
    <w:uiPriority w:val="0"/>
    <w:pPr>
      <w:outlineLvl w:val="6"/>
    </w:pPr>
  </w:style>
  <w:style w:type="paragraph" w:customStyle="1" w:styleId="381">
    <w:name w:val="术语定义五级条标题"/>
    <w:basedOn w:val="254"/>
    <w:next w:val="16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71"/>
    <w:next w:val="1"/>
    <w:uiPriority w:val="0"/>
    <w:pPr>
      <w:spacing w:after="200"/>
    </w:pPr>
    <w:rPr>
      <w:sz w:val="21"/>
    </w:rPr>
  </w:style>
  <w:style w:type="paragraph" w:customStyle="1" w:styleId="384">
    <w:name w:val="样式 标题 5 + 段前: 0.1 行2"/>
    <w:basedOn w:val="246"/>
    <w:next w:val="246"/>
    <w:uiPriority w:val="0"/>
    <w:pPr>
      <w:tabs>
        <w:tab w:val="left" w:pos="1134"/>
        <w:tab w:val="clear" w:pos="1050"/>
        <w:tab w:val="clear" w:pos="1080"/>
      </w:tabs>
      <w:spacing w:beforeLines="30" w:afterLines="50"/>
    </w:pPr>
    <w:rPr>
      <w:rFonts w:eastAsia="黑体"/>
      <w:b w:val="0"/>
    </w:rPr>
  </w:style>
  <w:style w:type="paragraph" w:customStyle="1" w:styleId="385">
    <w:name w:val="目次、索引正文"/>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86">
    <w:name w:val=".."/>
    <w:basedOn w:val="262"/>
    <w:next w:val="262"/>
    <w:uiPriority w:val="0"/>
    <w:rPr>
      <w:color w:val="auto"/>
    </w:rPr>
  </w:style>
  <w:style w:type="paragraph" w:customStyle="1" w:styleId="387">
    <w:name w:val="样式 样式 正文缩进正文缩进 Char正文（首行缩进两字） Char Char正文（首行缩进两字） Char1正文（首行缩进两....2"/>
    <w:basedOn w:val="340"/>
    <w:uiPriority w:val="0"/>
    <w:pPr>
      <w:spacing w:beforeLines="0" w:line="276" w:lineRule="auto"/>
      <w:ind w:firstLine="420"/>
    </w:pPr>
  </w:style>
  <w:style w:type="paragraph" w:customStyle="1" w:styleId="388">
    <w:name w:val="附录表标题续表"/>
    <w:basedOn w:val="389"/>
    <w:next w:val="161"/>
    <w:uiPriority w:val="0"/>
    <w:pPr>
      <w:widowControl/>
      <w:numPr>
        <w:ilvl w:val="0"/>
        <w:numId w:val="9"/>
      </w:numPr>
      <w:tabs>
        <w:tab w:val="left" w:pos="210"/>
        <w:tab w:val="left" w:pos="360"/>
        <w:tab w:val="left" w:pos="420"/>
      </w:tabs>
      <w:adjustRightInd/>
      <w:spacing w:line="360" w:lineRule="auto"/>
    </w:pPr>
    <w:rPr>
      <w:rFonts w:ascii="宋体" w:hAnsi="宋体" w:eastAsia="宋体"/>
    </w:rPr>
  </w:style>
  <w:style w:type="paragraph" w:customStyle="1" w:styleId="389">
    <w:name w:val="附录表标题"/>
    <w:next w:val="161"/>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90">
    <w:name w:val="样式1 标题 2 + 段前: 0.1 行 + 宋体"/>
    <w:basedOn w:val="1"/>
    <w:uiPriority w:val="0"/>
    <w:pPr>
      <w:tabs>
        <w:tab w:val="left" w:pos="500"/>
      </w:tabs>
      <w:spacing w:beforeLines="10" w:line="312" w:lineRule="auto"/>
    </w:pPr>
  </w:style>
  <w:style w:type="paragraph" w:customStyle="1" w:styleId="391">
    <w:name w:val="表格形式"/>
    <w:basedOn w:val="1"/>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uiPriority w:val="0"/>
    <w:pPr>
      <w:tabs>
        <w:tab w:val="left" w:pos="3885"/>
      </w:tabs>
      <w:spacing w:beforeLines="50"/>
    </w:pPr>
  </w:style>
  <w:style w:type="paragraph" w:customStyle="1" w:styleId="39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94">
    <w:name w:val="正文表标题续表"/>
    <w:basedOn w:val="174"/>
    <w:next w:val="16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uiPriority w:val="0"/>
    <w:pPr>
      <w:spacing w:beforeLines="100" w:afterLines="100"/>
    </w:pPr>
    <w:rPr>
      <w:rFonts w:eastAsia="黑体"/>
      <w:b w:val="0"/>
    </w:rPr>
  </w:style>
  <w:style w:type="paragraph" w:customStyle="1" w:styleId="39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uiPriority w:val="0"/>
    <w:pPr>
      <w:spacing w:beforeLines="10" w:line="312" w:lineRule="auto"/>
      <w:ind w:firstLine="420"/>
    </w:pPr>
    <w:rPr>
      <w:b/>
    </w:rPr>
  </w:style>
  <w:style w:type="paragraph" w:customStyle="1" w:styleId="398">
    <w:name w:val="样式 段前: 0.1 行2"/>
    <w:basedOn w:val="1"/>
    <w:uiPriority w:val="0"/>
    <w:pPr>
      <w:spacing w:line="276" w:lineRule="auto"/>
    </w:pPr>
  </w:style>
  <w:style w:type="paragraph" w:customStyle="1" w:styleId="399">
    <w:name w:val="条文脚注"/>
    <w:basedOn w:val="58"/>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3"/>
    <w:uiPriority w:val="0"/>
    <w:pPr>
      <w:ind w:left="840" w:leftChars="200" w:hanging="420"/>
    </w:pPr>
  </w:style>
  <w:style w:type="paragraph" w:customStyle="1" w:styleId="401">
    <w:name w:val="样式1 标题 5 + 段前: 0.1 行 + 段前: 0.1 行"/>
    <w:basedOn w:val="1"/>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40"/>
    <w:uiPriority w:val="0"/>
    <w:pPr>
      <w:spacing w:beforeLines="0"/>
      <w:ind w:hanging="6"/>
      <w:jc w:val="center"/>
    </w:pPr>
  </w:style>
  <w:style w:type="paragraph" w:customStyle="1" w:styleId="403">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61"/>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05">
    <w:name w:val="样式 章标题 + 小四 段前: 0.5 行 段后: 0.5 行"/>
    <w:basedOn w:val="254"/>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uiPriority w:val="0"/>
    <w:pPr>
      <w:spacing w:beforeLines="10" w:line="312" w:lineRule="auto"/>
    </w:pPr>
  </w:style>
  <w:style w:type="paragraph" w:customStyle="1" w:styleId="40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2"/>
    <w:next w:val="262"/>
    <w:uiPriority w:val="0"/>
    <w:pPr>
      <w:spacing w:line="320" w:lineRule="atLeast"/>
    </w:pPr>
    <w:rPr>
      <w:rFonts w:ascii="Times New Roman"/>
      <w:color w:val="auto"/>
    </w:rPr>
  </w:style>
  <w:style w:type="paragraph" w:customStyle="1" w:styleId="40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uiPriority w:val="0"/>
    <w:pPr>
      <w:topLinePunct/>
      <w:adjustRightInd w:val="0"/>
    </w:pPr>
  </w:style>
  <w:style w:type="paragraph" w:customStyle="1" w:styleId="413">
    <w:name w:val="术语定义四级条标题"/>
    <w:basedOn w:val="253"/>
    <w:next w:val="161"/>
    <w:uiPriority w:val="0"/>
    <w:pPr>
      <w:tabs>
        <w:tab w:val="left" w:pos="1995"/>
        <w:tab w:val="clear" w:pos="735"/>
      </w:tabs>
      <w:ind w:left="1995"/>
    </w:pPr>
  </w:style>
  <w:style w:type="paragraph" w:customStyle="1" w:styleId="414">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uiPriority w:val="0"/>
    <w:pPr>
      <w:jc w:val="right"/>
    </w:pPr>
  </w:style>
  <w:style w:type="paragraph" w:customStyle="1" w:styleId="416">
    <w:name w:val="Char Char Char1 Char"/>
    <w:basedOn w:val="1"/>
    <w:uiPriority w:val="0"/>
    <w:pPr>
      <w:spacing w:line="240" w:lineRule="atLeast"/>
      <w:ind w:left="420" w:firstLine="420"/>
    </w:pPr>
    <w:rPr>
      <w:kern w:val="0"/>
    </w:rPr>
  </w:style>
  <w:style w:type="paragraph" w:customStyle="1" w:styleId="417">
    <w:name w:val="样式 样式2 + 右侧:  1 字符"/>
    <w:basedOn w:val="167"/>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uiPriority w:val="0"/>
    <w:pPr>
      <w:spacing w:beforeLines="0" w:afterLines="0"/>
    </w:pPr>
  </w:style>
  <w:style w:type="paragraph" w:customStyle="1" w:styleId="419">
    <w:name w:val="Char Char Char Char Char Char Char Char Char1 Char Char Char"/>
    <w:basedOn w:val="1"/>
    <w:uiPriority w:val="0"/>
    <w:pPr>
      <w:spacing w:line="580" w:lineRule="exact"/>
      <w:ind w:firstLine="200" w:firstLineChars="200"/>
    </w:pPr>
  </w:style>
  <w:style w:type="paragraph" w:customStyle="1" w:styleId="420">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3"/>
    <w:uiPriority w:val="0"/>
    <w:pPr>
      <w:ind w:left="400" w:leftChars="200"/>
    </w:pPr>
  </w:style>
  <w:style w:type="paragraph" w:customStyle="1" w:styleId="422">
    <w:name w:val="标准书眉一"/>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3">
    <w:name w:val="样式 样式 正文（首行缩进两字） Char + 宋体 加粗 首行缩进:  2 字符 段前: 0.1 行 + 首行缩进:  2 字..."/>
    <w:basedOn w:val="351"/>
    <w:uiPriority w:val="0"/>
    <w:pPr>
      <w:spacing w:line="276" w:lineRule="auto"/>
    </w:pPr>
  </w:style>
  <w:style w:type="paragraph" w:customStyle="1" w:styleId="42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61"/>
    <w:uiPriority w:val="0"/>
    <w:pPr>
      <w:numPr>
        <w:ilvl w:val="8"/>
        <w:numId w:val="3"/>
      </w:numPr>
      <w:outlineLvl w:val="3"/>
    </w:pPr>
  </w:style>
  <w:style w:type="paragraph" w:customStyle="1" w:styleId="427">
    <w:name w:val="样式 样式 目录 1toc1 + + 左侧:  1 字符 右侧:  1 字符 段前: 0.15 行 段后: 0.15 行"/>
    <w:basedOn w:val="334"/>
    <w:uiPriority w:val="0"/>
  </w:style>
  <w:style w:type="paragraph" w:customStyle="1" w:styleId="428">
    <w:name w:val="样式 样式 样式 悬挂缩进: 9 字符 段前: 0.1 行 + 左侧:  3.93 字符 悬挂缩进: 8 字符 段前: 0.1 ..."/>
    <w:basedOn w:val="200"/>
    <w:next w:val="1"/>
    <w:uiPriority w:val="0"/>
    <w:pPr>
      <w:tabs>
        <w:tab w:val="left" w:pos="0"/>
      </w:tabs>
      <w:spacing w:before="24" w:afterLines="10"/>
      <w:ind w:left="800" w:hanging="400" w:firstLineChars="0"/>
    </w:pPr>
  </w:style>
  <w:style w:type="paragraph" w:customStyle="1" w:styleId="4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30">
    <w:name w:val="CM56"/>
    <w:basedOn w:val="262"/>
    <w:next w:val="262"/>
    <w:uiPriority w:val="0"/>
    <w:rPr>
      <w:rFonts w:ascii="Times New Roman"/>
      <w:color w:val="auto"/>
    </w:rPr>
  </w:style>
  <w:style w:type="paragraph" w:customStyle="1" w:styleId="431">
    <w:name w:val="样式 段前: 0.1 行 左  4 字符"/>
    <w:basedOn w:val="1"/>
    <w:uiPriority w:val="0"/>
    <w:pPr>
      <w:spacing w:beforeLines="10" w:line="300" w:lineRule="auto"/>
      <w:ind w:left="400" w:leftChars="400"/>
    </w:pPr>
  </w:style>
  <w:style w:type="paragraph" w:customStyle="1" w:styleId="432">
    <w:name w:val="名称"/>
    <w:basedOn w:val="271"/>
    <w:next w:val="161"/>
    <w:uiPriority w:val="0"/>
    <w:pPr>
      <w:widowControl/>
      <w:adjustRightInd/>
      <w:spacing w:line="460" w:lineRule="exact"/>
      <w:textAlignment w:val="auto"/>
      <w:outlineLvl w:val="9"/>
    </w:pPr>
    <w:rPr>
      <w:b/>
    </w:rPr>
  </w:style>
  <w:style w:type="paragraph" w:customStyle="1" w:styleId="433">
    <w:name w:val="样式 Times New Roman 段前: 0.1 行"/>
    <w:basedOn w:val="1"/>
    <w:uiPriority w:val="0"/>
    <w:pPr>
      <w:spacing w:beforeLines="10" w:line="300" w:lineRule="auto"/>
      <w:ind w:firstLine="200" w:firstLineChars="200"/>
    </w:pPr>
  </w:style>
  <w:style w:type="paragraph" w:customStyle="1" w:styleId="434">
    <w:name w:val="样式 段 + Verdana 小四 自定义颜(RGB(171717))"/>
    <w:basedOn w:val="161"/>
    <w:uiPriority w:val="0"/>
    <w:pPr>
      <w:autoSpaceDE/>
      <w:autoSpaceDN/>
      <w:snapToGrid w:val="0"/>
      <w:spacing w:line="300" w:lineRule="auto"/>
    </w:pPr>
    <w:rPr>
      <w:rFonts w:ascii="Verdana" w:hAnsi="Verdana"/>
      <w:color w:val="111111"/>
      <w:sz w:val="24"/>
    </w:rPr>
  </w:style>
  <w:style w:type="paragraph" w:customStyle="1" w:styleId="435">
    <w:name w:val="朱表头"/>
    <w:basedOn w:val="146"/>
    <w:uiPriority w:val="0"/>
    <w:pPr>
      <w:spacing w:line="312" w:lineRule="exact"/>
    </w:pPr>
    <w:rPr>
      <w:rFonts w:ascii="EU-F1"/>
      <w:snapToGrid w:val="0"/>
      <w:szCs w:val="20"/>
    </w:rPr>
  </w:style>
  <w:style w:type="paragraph" w:customStyle="1" w:styleId="436">
    <w:name w:val="封面标准代替信息"/>
    <w:basedOn w:val="342"/>
    <w:uiPriority w:val="0"/>
    <w:pPr>
      <w:spacing w:before="57"/>
    </w:pPr>
    <w:rPr>
      <w:rFonts w:ascii="宋体"/>
      <w:sz w:val="21"/>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39">
    <w:name w:val="Style 三级条标题 + Before:  6 pt"/>
    <w:basedOn w:val="325"/>
    <w:uiPriority w:val="0"/>
    <w:pPr>
      <w:widowControl/>
      <w:tabs>
        <w:tab w:val="left" w:pos="1440"/>
      </w:tabs>
      <w:adjustRightInd/>
      <w:spacing w:line="240" w:lineRule="auto"/>
      <w:textAlignment w:val="auto"/>
    </w:pPr>
    <w:rPr>
      <w:rFonts w:ascii="黑体"/>
    </w:rPr>
  </w:style>
  <w:style w:type="paragraph" w:customStyle="1" w:styleId="440">
    <w:name w:val="标准标志"/>
    <w:next w:val="1"/>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41">
    <w:name w:val="样式标题 3 + Arial 段前: 0.1 行"/>
    <w:basedOn w:val="1"/>
    <w:uiPriority w:val="0"/>
    <w:pPr>
      <w:tabs>
        <w:tab w:val="left" w:pos="357"/>
      </w:tabs>
      <w:spacing w:beforeLines="10" w:line="312" w:lineRule="auto"/>
    </w:pPr>
  </w:style>
  <w:style w:type="paragraph" w:customStyle="1" w:styleId="44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46">
    <w:name w:val="样式1 加粗 居中 首行缩进:  0.74 厘米 段前: 0.1 行"/>
    <w:basedOn w:val="1"/>
    <w:uiPriority w:val="0"/>
    <w:pPr>
      <w:spacing w:line="276" w:lineRule="auto"/>
      <w:ind w:firstLine="420"/>
      <w:jc w:val="center"/>
    </w:pPr>
    <w:rPr>
      <w:b/>
    </w:rPr>
  </w:style>
  <w:style w:type="paragraph" w:customStyle="1" w:styleId="447">
    <w:name w:val="_表格条文"/>
    <w:basedOn w:val="1"/>
    <w:uiPriority w:val="0"/>
    <w:pPr>
      <w:spacing w:line="276" w:lineRule="auto"/>
    </w:pPr>
    <w:rPr>
      <w:rFonts w:ascii="Arial" w:hAnsi="Arial"/>
      <w:color w:val="000000"/>
      <w:sz w:val="18"/>
    </w:rPr>
  </w:style>
  <w:style w:type="paragraph" w:customStyle="1" w:styleId="448">
    <w:name w:val="样式 样式 标题 1 + 段前: 0.7 行 段后: 0.7 行"/>
    <w:basedOn w:val="288"/>
    <w:uiPriority w:val="0"/>
    <w:pPr>
      <w:tabs>
        <w:tab w:val="left" w:pos="340"/>
        <w:tab w:val="clear" w:pos="360"/>
      </w:tabs>
      <w:spacing w:beforeLines="100" w:afterLines="100"/>
    </w:pPr>
  </w:style>
  <w:style w:type="paragraph" w:customStyle="1" w:styleId="449">
    <w:name w:val="样式 Times New Roman 段前: 0.1 行 行距: 多倍行距 1.25 字行1"/>
    <w:basedOn w:val="1"/>
    <w:uiPriority w:val="0"/>
    <w:pPr>
      <w:spacing w:line="276" w:lineRule="auto"/>
      <w:ind w:firstLine="200" w:firstLineChars="200"/>
    </w:pPr>
    <w:rPr>
      <w:rFonts w:hAnsi="宋体"/>
    </w:rPr>
  </w:style>
  <w:style w:type="paragraph" w:customStyle="1" w:styleId="450">
    <w:name w:val="文献分类号"/>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51">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453">
    <w:name w:val="样式1 样式 编号 a + Times New Roman 段前: 0 行 行距: 多倍行距 1.15 字行 + 左侧....."/>
    <w:basedOn w:val="263"/>
    <w:uiPriority w:val="0"/>
    <w:pPr>
      <w:ind w:left="400" w:leftChars="200"/>
    </w:pPr>
  </w:style>
  <w:style w:type="paragraph" w:customStyle="1" w:styleId="454">
    <w:name w:val="样式 样式1 样式 编号 a + Times New Roman 段前: 0 行 行距: 多倍行距 1.15 字行 + 左..."/>
    <w:basedOn w:val="400"/>
    <w:uiPriority w:val="0"/>
  </w:style>
  <w:style w:type="paragraph" w:customStyle="1" w:styleId="455">
    <w:name w:val="术语定义二级条标题"/>
    <w:basedOn w:val="253"/>
    <w:next w:val="161"/>
    <w:uiPriority w:val="0"/>
    <w:pPr>
      <w:tabs>
        <w:tab w:val="left" w:pos="1155"/>
        <w:tab w:val="clear" w:pos="735"/>
      </w:tabs>
      <w:ind w:left="1155"/>
    </w:pPr>
  </w:style>
  <w:style w:type="paragraph" w:customStyle="1" w:styleId="456">
    <w:name w:val="列项——（一级）"/>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5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0">
    <w:name w:val="_术语条目"/>
    <w:basedOn w:val="336"/>
    <w:next w:val="335"/>
    <w:uiPriority w:val="0"/>
    <w:pPr>
      <w:spacing w:beforeLines="0" w:line="276" w:lineRule="auto"/>
      <w:jc w:val="left"/>
    </w:pPr>
    <w:rPr>
      <w:rFonts w:eastAsia="黑体"/>
      <w:color w:val="000000"/>
    </w:rPr>
  </w:style>
  <w:style w:type="paragraph" w:customStyle="1" w:styleId="461">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463">
    <w:name w:val="部分标签"/>
    <w:basedOn w:val="301"/>
    <w:next w:val="1"/>
    <w:uiPriority w:val="0"/>
    <w:pPr>
      <w:spacing w:before="400" w:after="440"/>
    </w:pPr>
    <w:rPr>
      <w:rFonts w:ascii="Times New Roman" w:hAnsi="Times New Roman"/>
      <w:spacing w:val="-30"/>
      <w:sz w:val="60"/>
    </w:rPr>
  </w:style>
  <w:style w:type="paragraph" w:customStyle="1" w:styleId="464">
    <w:name w:val="节标签"/>
    <w:basedOn w:val="301"/>
    <w:next w:val="30"/>
    <w:uiPriority w:val="0"/>
    <w:pPr>
      <w:spacing w:before="400" w:after="440"/>
    </w:pPr>
    <w:rPr>
      <w:rFonts w:ascii="Times New Roman" w:hAnsi="Times New Roman"/>
      <w:spacing w:val="-30"/>
      <w:sz w:val="60"/>
    </w:rPr>
  </w:style>
  <w:style w:type="paragraph" w:customStyle="1" w:styleId="465">
    <w:name w:val="示例"/>
    <w:next w:val="161"/>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66">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468">
    <w:name w:val="样式 标题 1 + 段前: 0.7 行 段后: 0.7 行 + 段前: 0.7 行 段后: 0.7 行"/>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69">
    <w:name w:val="样式 标题 4 + Arial 段前: 0.1 行"/>
    <w:basedOn w:val="1"/>
    <w:uiPriority w:val="0"/>
    <w:pPr>
      <w:tabs>
        <w:tab w:val="left" w:pos="357"/>
        <w:tab w:val="left" w:pos="900"/>
      </w:tabs>
      <w:spacing w:beforeLines="10" w:line="312" w:lineRule="auto"/>
    </w:pPr>
  </w:style>
  <w:style w:type="paragraph" w:customStyle="1" w:styleId="470">
    <w:name w:val="CM54"/>
    <w:basedOn w:val="262"/>
    <w:next w:val="262"/>
    <w:uiPriority w:val="0"/>
    <w:rPr>
      <w:rFonts w:ascii="Times New Roman"/>
      <w:color w:val="auto"/>
    </w:rPr>
  </w:style>
  <w:style w:type="paragraph" w:customStyle="1" w:styleId="471">
    <w:name w:val="附录图标题"/>
    <w:next w:val="161"/>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72">
    <w:name w:val="_列项符号3"/>
    <w:basedOn w:val="24"/>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uiPriority w:val="0"/>
  </w:style>
  <w:style w:type="paragraph" w:customStyle="1" w:styleId="475">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uiPriority w:val="0"/>
    <w:pPr>
      <w:tabs>
        <w:tab w:val="center" w:pos="4160"/>
        <w:tab w:val="right" w:pos="8300"/>
      </w:tabs>
      <w:topLinePunct/>
      <w:adjustRightInd w:val="0"/>
      <w:spacing w:line="312" w:lineRule="auto"/>
    </w:pPr>
  </w:style>
  <w:style w:type="paragraph" w:customStyle="1" w:styleId="477">
    <w:name w:val="序号"/>
    <w:basedOn w:val="1"/>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200"/>
    <w:uiPriority w:val="0"/>
    <w:pPr>
      <w:spacing w:afterLines="10"/>
      <w:ind w:firstLine="200"/>
    </w:pPr>
  </w:style>
  <w:style w:type="paragraph" w:customStyle="1" w:styleId="47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uiPriority w:val="0"/>
    <w:pPr>
      <w:numPr>
        <w:ilvl w:val="6"/>
        <w:numId w:val="2"/>
      </w:numPr>
    </w:pPr>
    <w:rPr>
      <w:rFonts w:ascii="黑体" w:eastAsia="黑体"/>
      <w:b/>
    </w:rPr>
  </w:style>
  <w:style w:type="paragraph" w:customStyle="1" w:styleId="481">
    <w:name w:val="样式 样式 正文缩进 + 首行缩进:  0 厘米1 +"/>
    <w:basedOn w:val="1"/>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83"/>
    <w:uiPriority w:val="0"/>
    <w:pPr>
      <w:spacing w:beforeLines="0" w:line="276" w:lineRule="auto"/>
      <w:ind w:firstLine="420"/>
    </w:pPr>
  </w:style>
  <w:style w:type="paragraph" w:customStyle="1" w:styleId="483">
    <w:name w:val="二级无标题条"/>
    <w:basedOn w:val="1"/>
    <w:uiPriority w:val="0"/>
    <w:pPr>
      <w:numPr>
        <w:ilvl w:val="3"/>
        <w:numId w:val="2"/>
      </w:numPr>
    </w:pPr>
    <w:rPr>
      <w:b/>
    </w:rPr>
  </w:style>
  <w:style w:type="paragraph" w:customStyle="1" w:styleId="484">
    <w:name w:val="Char1"/>
    <w:basedOn w:val="1"/>
    <w:uiPriority w:val="0"/>
    <w:rPr>
      <w:rFonts w:ascii="Tahoma" w:hAnsi="Tahoma"/>
      <w:sz w:val="24"/>
    </w:rPr>
  </w:style>
  <w:style w:type="paragraph" w:customStyle="1" w:styleId="485">
    <w:name w:val="样式 题注Figure Caption + 段前: 0.5 行 段后: 0.5 行"/>
    <w:basedOn w:val="22"/>
    <w:uiPriority w:val="0"/>
    <w:pPr>
      <w:spacing w:beforeLines="50" w:afterLines="50" w:line="330" w:lineRule="exact"/>
      <w:jc w:val="left"/>
    </w:pPr>
    <w:rPr>
      <w:b/>
      <w:sz w:val="21"/>
    </w:rPr>
  </w:style>
  <w:style w:type="paragraph" w:customStyle="1" w:styleId="486">
    <w:name w:val="_列项接续1"/>
    <w:basedOn w:val="34"/>
    <w:uiPriority w:val="0"/>
    <w:pPr>
      <w:spacing w:after="0" w:line="276" w:lineRule="auto"/>
      <w:ind w:left="400" w:leftChars="400"/>
    </w:pPr>
    <w:rPr>
      <w:color w:val="000000"/>
    </w:rPr>
  </w:style>
  <w:style w:type="paragraph" w:customStyle="1" w:styleId="487">
    <w:name w:val="工程建设款标题"/>
    <w:basedOn w:val="292"/>
    <w:uiPriority w:val="0"/>
    <w:pPr>
      <w:numPr>
        <w:ilvl w:val="7"/>
        <w:numId w:val="3"/>
      </w:numPr>
      <w:outlineLvl w:val="9"/>
    </w:pPr>
  </w:style>
  <w:style w:type="paragraph" w:customStyle="1" w:styleId="488">
    <w:name w:val="样式 题目封页 + (西文) 华文中宋 (中文) 华文中宋 32 磅 黑色 两端对齐 段前: 3 磅 段后: 3 磅..."/>
    <w:basedOn w:val="30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uiPriority w:val="0"/>
    <w:pPr>
      <w:spacing w:line="276" w:lineRule="auto"/>
    </w:pPr>
    <w:rPr>
      <w:rFonts w:hAnsi="宋体"/>
    </w:rPr>
  </w:style>
  <w:style w:type="paragraph" w:customStyle="1" w:styleId="49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91">
    <w:name w:val="封面正文"/>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4">
    <w:name w:val="Char Char Char Char Char Char Char"/>
    <w:basedOn w:val="1"/>
    <w:uiPriority w:val="0"/>
    <w:pPr>
      <w:spacing w:line="360" w:lineRule="auto"/>
      <w:ind w:firstLine="200" w:firstLineChars="200"/>
    </w:pPr>
  </w:style>
  <w:style w:type="paragraph" w:customStyle="1" w:styleId="495">
    <w:name w:val="基准索引样式"/>
    <w:basedOn w:val="1"/>
    <w:uiPriority w:val="0"/>
    <w:pPr>
      <w:widowControl/>
      <w:spacing w:line="220" w:lineRule="atLeast"/>
      <w:ind w:left="360"/>
      <w:jc w:val="left"/>
    </w:pPr>
    <w:rPr>
      <w:rFonts w:ascii="Arial" w:hAnsi="Arial"/>
      <w:kern w:val="0"/>
    </w:rPr>
  </w:style>
  <w:style w:type="paragraph" w:customStyle="1" w:styleId="496">
    <w:name w:val="式中"/>
    <w:next w:val="161"/>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497">
    <w:name w:val="Char Char Char Char Char Char"/>
    <w:basedOn w:val="1"/>
    <w:uiPriority w:val="0"/>
  </w:style>
  <w:style w:type="paragraph" w:customStyle="1" w:styleId="498">
    <w:name w:val="附录标识"/>
    <w:basedOn w:val="271"/>
    <w:uiPriority w:val="0"/>
    <w:pPr>
      <w:tabs>
        <w:tab w:val="left" w:pos="6405"/>
      </w:tabs>
      <w:spacing w:after="200"/>
    </w:pPr>
    <w:rPr>
      <w:sz w:val="21"/>
    </w:rPr>
  </w:style>
  <w:style w:type="paragraph" w:customStyle="1" w:styleId="499">
    <w:name w:val="工程建设公式标题"/>
    <w:basedOn w:val="292"/>
    <w:uiPriority w:val="0"/>
    <w:pPr>
      <w:numPr>
        <w:ilvl w:val="6"/>
        <w:numId w:val="3"/>
      </w:numPr>
      <w:jc w:val="center"/>
      <w:outlineLvl w:val="6"/>
    </w:pPr>
  </w:style>
  <w:style w:type="paragraph" w:customStyle="1" w:styleId="500">
    <w:name w:val="样式2 样式 a) + 段前: 0行"/>
    <w:basedOn w:val="195"/>
    <w:uiPriority w:val="0"/>
    <w:pPr>
      <w:tabs>
        <w:tab w:val="clear" w:pos="780"/>
      </w:tabs>
      <w:spacing w:beforeLines="0" w:line="276" w:lineRule="auto"/>
      <w:ind w:left="420" w:leftChars="200" w:firstLine="0" w:firstLineChars="0"/>
    </w:pPr>
  </w:style>
  <w:style w:type="paragraph" w:customStyle="1" w:styleId="501">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200"/>
    <w:uiPriority w:val="0"/>
    <w:pPr>
      <w:spacing w:afterLines="10"/>
      <w:ind w:firstLine="200"/>
    </w:pPr>
    <w:rPr>
      <w:b/>
    </w:rPr>
  </w:style>
  <w:style w:type="paragraph" w:customStyle="1" w:styleId="503">
    <w:name w:val="样式 首页脚样式 + 黑色 段前: 3 磅 段后: 3 磅 底端: (单实线 自动设置  0.75 磅 行宽 距正文..."/>
    <w:basedOn w:val="414"/>
    <w:uiPriority w:val="0"/>
    <w:pPr>
      <w:pBdr>
        <w:bottom w:val="single" w:color="auto" w:sz="6" w:space="0"/>
      </w:pBdr>
      <w:snapToGrid w:val="0"/>
      <w:spacing w:before="0"/>
    </w:pPr>
    <w:rPr>
      <w:b w:val="0"/>
      <w:color w:val="000000"/>
      <w:sz w:val="28"/>
    </w:rPr>
  </w:style>
  <w:style w:type="paragraph" w:customStyle="1" w:styleId="504">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505">
    <w:name w:val="_Style 504"/>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uiPriority w:val="0"/>
  </w:style>
  <w:style w:type="character" w:customStyle="1" w:styleId="507">
    <w:name w:val="hps"/>
    <w:basedOn w:val="77"/>
    <w:uiPriority w:val="0"/>
  </w:style>
  <w:style w:type="paragraph" w:customStyle="1" w:styleId="508">
    <w:name w:val="正文-d"/>
    <w:basedOn w:val="1"/>
    <w:uiPriority w:val="0"/>
    <w:pPr>
      <w:ind w:firstLine="200" w:firstLineChars="200"/>
    </w:pPr>
    <w:rPr>
      <w:szCs w:val="21"/>
    </w:rPr>
  </w:style>
  <w:style w:type="paragraph" w:customStyle="1" w:styleId="509">
    <w:name w:val="目次"/>
    <w:basedOn w:val="1"/>
    <w:uiPriority w:val="0"/>
    <w:pPr>
      <w:spacing w:line="1200" w:lineRule="auto"/>
      <w:jc w:val="center"/>
    </w:pPr>
    <w:rPr>
      <w:rFonts w:eastAsia="黑体"/>
      <w:kern w:val="21"/>
      <w:sz w:val="32"/>
      <w:szCs w:val="32"/>
    </w:rPr>
  </w:style>
  <w:style w:type="character" w:customStyle="1" w:styleId="510">
    <w:name w:val="样式2 Char"/>
    <w:basedOn w:val="77"/>
    <w:uiPriority w:val="0"/>
    <w:rPr>
      <w:rFonts w:ascii="EU-F1" w:eastAsia="黑体"/>
      <w:color w:val="000000"/>
      <w:kern w:val="44"/>
      <w:sz w:val="21"/>
      <w:szCs w:val="21"/>
      <w:lang w:val="en-US" w:eastAsia="zh-CN" w:bidi="ar-SA"/>
    </w:rPr>
  </w:style>
  <w:style w:type="paragraph" w:customStyle="1" w:styleId="511">
    <w:name w:val="样式9"/>
    <w:basedOn w:val="1"/>
    <w:uiPriority w:val="0"/>
    <w:pPr>
      <w:topLinePunct/>
      <w:spacing w:before="560" w:after="560" w:line="560" w:lineRule="exact"/>
      <w:jc w:val="center"/>
    </w:pPr>
    <w:rPr>
      <w:rFonts w:eastAsia="黑体"/>
      <w:sz w:val="32"/>
      <w:lang w:val="zh-CN"/>
    </w:rPr>
  </w:style>
  <w:style w:type="paragraph" w:customStyle="1" w:styleId="512">
    <w:name w:val="样式8"/>
    <w:basedOn w:val="1"/>
    <w:uiPriority w:val="0"/>
    <w:pPr>
      <w:wordWrap w:val="0"/>
      <w:spacing w:before="400" w:after="40" w:line="360" w:lineRule="exact"/>
      <w:ind w:right="284"/>
      <w:jc w:val="right"/>
    </w:pPr>
    <w:rPr>
      <w:rFonts w:ascii="E-FZ"/>
      <w:sz w:val="28"/>
      <w:szCs w:val="24"/>
    </w:rPr>
  </w:style>
  <w:style w:type="paragraph" w:customStyle="1" w:styleId="513">
    <w:name w:val="样式7"/>
    <w:basedOn w:val="3"/>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uiPriority w:val="0"/>
    <w:rPr>
      <w:rFonts w:ascii="Times New Roman" w:hAnsi="Times New Roman" w:eastAsia="宋体" w:cs="宋体"/>
      <w:b/>
      <w:kern w:val="44"/>
      <w:sz w:val="52"/>
      <w:szCs w:val="52"/>
    </w:rPr>
  </w:style>
  <w:style w:type="character" w:customStyle="1" w:styleId="515">
    <w:name w:val="批注文字 Char1"/>
    <w:uiPriority w:val="0"/>
    <w:rPr>
      <w:sz w:val="24"/>
    </w:rPr>
  </w:style>
  <w:style w:type="paragraph" w:customStyle="1" w:styleId="516">
    <w:name w:val="正文_2"/>
    <w:basedOn w:val="1"/>
    <w:qFormat/>
    <w:uiPriority w:val="0"/>
    <w:rPr>
      <w:rFonts w:ascii="Calibri" w:hAnsi="Calibri"/>
      <w:szCs w:val="22"/>
    </w:rPr>
  </w:style>
  <w:style w:type="paragraph" w:customStyle="1" w:styleId="517">
    <w:name w:val="Normal_1_0"/>
    <w:basedOn w:val="1"/>
    <w:qFormat/>
    <w:uiPriority w:val="0"/>
    <w:rPr>
      <w:rFonts w:eastAsia="Times New Roman"/>
      <w:kern w:val="0"/>
      <w:sz w:val="20"/>
    </w:rPr>
  </w:style>
  <w:style w:type="paragraph" w:customStyle="1" w:styleId="518">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9">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0">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1">
    <w:name w:val="样式 标题 2 + 黑色 行距: 1.5 倍行距"/>
    <w:basedOn w:val="4"/>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qFormat/>
    <w:uiPriority w:val="0"/>
    <w:pPr>
      <w:widowControl w:val="0"/>
      <w:jc w:val="both"/>
    </w:pPr>
    <w:rPr>
      <w:rFonts w:ascii="Times New Roman" w:hAnsi="Times New Roman" w:eastAsia="宋体" w:cs="Times New Roman"/>
      <w:lang w:val="en-US" w:eastAsia="zh-CN" w:bidi="ar-SA"/>
    </w:rPr>
  </w:style>
  <w:style w:type="paragraph" w:customStyle="1" w:styleId="523">
    <w:name w:val="Body text|2"/>
    <w:basedOn w:val="1"/>
    <w:qFormat/>
    <w:uiPriority w:val="0"/>
    <w:pPr>
      <w:spacing w:line="469" w:lineRule="exact"/>
    </w:pPr>
    <w:rPr>
      <w:rFonts w:ascii="宋体" w:hAnsi="宋体" w:cs="宋体"/>
      <w:sz w:val="22"/>
      <w:szCs w:val="22"/>
      <w:lang w:val="zh-TW" w:eastAsia="zh-TW" w:bidi="zh-TW"/>
    </w:rPr>
  </w:style>
  <w:style w:type="paragraph" w:customStyle="1" w:styleId="524">
    <w:name w:val="Body text|1"/>
    <w:basedOn w:val="1"/>
    <w:qFormat/>
    <w:uiPriority w:val="0"/>
    <w:pPr>
      <w:spacing w:line="425" w:lineRule="auto"/>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2373</Words>
  <Characters>13531</Characters>
  <Lines>112</Lines>
  <Paragraphs>31</Paragraphs>
  <TotalTime>1</TotalTime>
  <ScaleCrop>false</ScaleCrop>
  <LinksUpToDate>false</LinksUpToDate>
  <CharactersWithSpaces>15873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cp:lastPrinted>2021-09-18T00:27:00Z</cp:lastPrinted>
  <dcterms:modified xsi:type="dcterms:W3CDTF">2021-10-11T09:29:00Z</dcterms:modified>
  <dc:title>宜兴水务集团有限公司</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8DD2585398D04CB988FC91073D13F4D9</vt:lpwstr>
  </property>
</Properties>
</file>